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B4D89"/>
          <w:sz w:val="24"/>
        </w:rPr>
        <w:t>OUTLIERS RISK MANAGEMENT CENTRE™</w:t>
      </w:r>
    </w:p>
    <w:p>
      <w:pPr>
        <w:jc w:val="center"/>
      </w:pPr>
      <w:r>
        <w:rPr>
          <w:b/>
          <w:color w:val="10243F"/>
          <w:sz w:val="52"/>
        </w:rPr>
        <w:t>Enterprise Risk Management Toolkit™</w:t>
      </w:r>
    </w:p>
    <w:p>
      <w:pPr>
        <w:jc w:val="center"/>
      </w:pPr>
      <w:r>
        <w:rPr>
          <w:color w:val="C97B2C"/>
          <w:sz w:val="26"/>
        </w:rPr>
        <w:t>Stand up and run a complete, integrated ERM system</w:t>
      </w:r>
    </w:p>
    <w:p/>
    <w:p/>
    <w:p>
      <w:pPr>
        <w:jc w:val="center"/>
      </w:pPr>
      <w:r>
        <w:rPr>
          <w:color w:val="555555"/>
          <w:sz w:val="20"/>
        </w:rPr>
        <w:t>CRO / CFO / Risk Function  ·  Access Tier T2  ·  Flagship Edition 2026</w:t>
      </w:r>
    </w:p>
    <w:p>
      <w:pPr>
        <w:jc w:val="center"/>
      </w:pPr>
      <w:r>
        <w:rPr>
          <w:i/>
          <w:color w:val="555555"/>
          <w:sz w:val="18"/>
        </w:rPr>
        <w:t>Publication-ready resource for the Outliers Resource Library</w:t>
      </w:r>
    </w:p>
    <w:p>
      <w:r>
        <w:br w:type="page"/>
      </w:r>
    </w:p>
    <w:p>
      <w:pPr>
        <w:pStyle w:val="Heading1"/>
      </w:pPr>
      <w:r>
        <w:t>1. Full Guide</w:t>
      </w:r>
    </w:p>
    <w:p>
      <w:r>
        <w:rPr>
          <w:b w:val="0"/>
          <w:i w:val="0"/>
          <w:sz w:val="20"/>
        </w:rPr>
        <w:t>Enterprise Risk Management (ERM) is the integrated, enterprise-wide discipline of identifying, assessing, treating, monitoring and reporting the risks that could affect the achievement of objectives — governed against a defined risk appetite. This toolkit gives you everything required to establish or upgrade ERM: the operating model, the registers and templates, the checklists, the governance and the reporting.</w:t>
      </w:r>
    </w:p>
    <w:p>
      <w:pPr>
        <w:pStyle w:val="Heading2"/>
      </w:pPr>
      <w:r>
        <w:t>The ERM operating cycle</w:t>
      </w:r>
    </w:p>
    <w:p>
      <w:r>
        <w:rPr>
          <w:b w:val="0"/>
          <w:i w:val="0"/>
          <w:sz w:val="20"/>
        </w:rPr>
        <w:t>Run ERM as a continuous eight-step cycle:</w:t>
      </w:r>
    </w:p>
    <w:p>
      <w:pPr>
        <w:pStyle w:val="ListNumber"/>
      </w:pPr>
      <w:r>
        <w:rPr>
          <w:sz w:val="19"/>
        </w:rPr>
        <w:t>Govern — set mandate, appetite and the operating model</w:t>
      </w:r>
    </w:p>
    <w:p>
      <w:pPr>
        <w:pStyle w:val="ListNumber"/>
      </w:pPr>
      <w:r>
        <w:rPr>
          <w:sz w:val="19"/>
        </w:rPr>
        <w:t>Identify — surface risks using a common taxonomy</w:t>
      </w:r>
    </w:p>
    <w:p>
      <w:pPr>
        <w:pStyle w:val="ListNumber"/>
      </w:pPr>
      <w:r>
        <w:rPr>
          <w:sz w:val="19"/>
        </w:rPr>
        <w:t>Assess — score likelihood and impact; quantify where possible</w:t>
      </w:r>
    </w:p>
    <w:p>
      <w:pPr>
        <w:pStyle w:val="ListNumber"/>
      </w:pPr>
      <w:r>
        <w:rPr>
          <w:sz w:val="19"/>
        </w:rPr>
        <w:t>Respond — choose treat/tolerate/transfer/terminate</w:t>
      </w:r>
    </w:p>
    <w:p>
      <w:pPr>
        <w:pStyle w:val="ListNumber"/>
      </w:pPr>
      <w:r>
        <w:rPr>
          <w:sz w:val="19"/>
        </w:rPr>
        <w:t>Control — implement and test controls</w:t>
      </w:r>
    </w:p>
    <w:p>
      <w:pPr>
        <w:pStyle w:val="ListNumber"/>
      </w:pPr>
      <w:r>
        <w:rPr>
          <w:sz w:val="19"/>
        </w:rPr>
        <w:t>Monitor — track KRIs and changes in the profile</w:t>
      </w:r>
    </w:p>
    <w:p>
      <w:pPr>
        <w:pStyle w:val="ListNumber"/>
      </w:pPr>
      <w:r>
        <w:rPr>
          <w:sz w:val="19"/>
        </w:rPr>
        <w:t>Report — provide decision-grade reporting to management and the board</w:t>
      </w:r>
    </w:p>
    <w:p>
      <w:pPr>
        <w:pStyle w:val="ListNumber"/>
      </w:pPr>
      <w:r>
        <w:rPr>
          <w:sz w:val="19"/>
        </w:rPr>
        <w:t>Learn — capture incidents, losses and lessons</w:t>
      </w:r>
    </w:p>
    <w:p>
      <w:pPr>
        <w:pStyle w:val="Heading2"/>
      </w:pPr>
      <w:r>
        <w:t>Maturity model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58"/>
        <w:gridCol w:w="1958"/>
        <w:gridCol w:w="1958"/>
        <w:gridCol w:w="1958"/>
        <w:gridCol w:w="1958"/>
      </w:tblGrid>
      <w:tr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L1 Fragile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L2 Functional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L3 Disciplined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L4 Strategic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L5 Resilient</w:t>
            </w:r>
          </w:p>
        </w:tc>
      </w:tr>
      <w:tr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Informal / reactive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Basic, siloed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Standardised &amp; governed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Integrated &amp; quantified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Predictive &amp; embedded</w:t>
            </w:r>
          </w:p>
        </w:tc>
      </w:tr>
    </w:tbl>
    <w:p>
      <w:r>
        <w:rPr>
          <w:b w:val="0"/>
          <w:i w:val="0"/>
          <w:sz w:val="20"/>
        </w:rPr>
        <w:t>Use the Enterprise Risk Maturity Assessment™ to score the current level and target the next.</w:t>
      </w:r>
    </w:p>
    <w:p>
      <w:pPr>
        <w:pStyle w:val="Heading2"/>
      </w:pPr>
      <w:r>
        <w:t>Implementation roadmap (90 days)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48"/>
        <w:gridCol w:w="2448"/>
        <w:gridCol w:w="2448"/>
        <w:gridCol w:w="2448"/>
      </w:tblGrid>
      <w:tr>
        <w:tc>
          <w:tcPr>
            <w:tcW w:type="dxa" w:w="158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Phase</w:t>
            </w:r>
          </w:p>
        </w:tc>
        <w:tc>
          <w:tcPr>
            <w:tcW w:type="dxa" w:w="115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Weeks</w:t>
            </w:r>
          </w:p>
        </w:tc>
        <w:tc>
          <w:tcPr>
            <w:tcW w:type="dxa" w:w="460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Activities</w:t>
            </w:r>
          </w:p>
        </w:tc>
        <w:tc>
          <w:tcPr>
            <w:tcW w:type="dxa" w:w="345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Deliverables</w:t>
            </w:r>
          </w:p>
        </w:tc>
      </w:tr>
      <w:tr>
        <w:tc>
          <w:tcPr>
            <w:tcW w:type="dxa" w:w="1584"/>
          </w:tcPr>
          <w:p>
            <w:r/>
            <w:r>
              <w:rPr>
                <w:rFonts w:ascii="Arial" w:hAnsi="Arial"/>
                <w:b w:val="0"/>
                <w:sz w:val="16"/>
              </w:rPr>
              <w:t>Diagnose</w:t>
            </w:r>
          </w:p>
        </w:tc>
        <w:tc>
          <w:tcPr>
            <w:tcW w:type="dxa" w:w="1152"/>
          </w:tcPr>
          <w:p>
            <w:r/>
            <w:r>
              <w:rPr>
                <w:rFonts w:ascii="Arial" w:hAnsi="Arial"/>
                <w:b w:val="0"/>
                <w:sz w:val="16"/>
              </w:rPr>
              <w:t>1–3</w:t>
            </w:r>
          </w:p>
        </w:tc>
        <w:tc>
          <w:tcPr>
            <w:tcW w:type="dxa" w:w="4608"/>
          </w:tcPr>
          <w:p>
            <w:r/>
            <w:r>
              <w:rPr>
                <w:rFonts w:ascii="Arial" w:hAnsi="Arial"/>
                <w:b w:val="0"/>
                <w:sz w:val="16"/>
              </w:rPr>
              <w:t>Maturity assessment; stakeholder interviews</w:t>
            </w:r>
          </w:p>
        </w:tc>
        <w:tc>
          <w:tcPr>
            <w:tcW w:type="dxa" w:w="3456"/>
          </w:tcPr>
          <w:p>
            <w:r/>
            <w:r>
              <w:rPr>
                <w:rFonts w:ascii="Arial" w:hAnsi="Arial"/>
                <w:b w:val="0"/>
                <w:sz w:val="16"/>
              </w:rPr>
              <w:t>Maturity score &amp; gap analysis</w:t>
            </w:r>
          </w:p>
        </w:tc>
      </w:tr>
      <w:tr>
        <w:tc>
          <w:tcPr>
            <w:tcW w:type="dxa" w:w="158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Design</w:t>
            </w:r>
          </w:p>
        </w:tc>
        <w:tc>
          <w:tcPr>
            <w:tcW w:type="dxa" w:w="1152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4–6</w:t>
            </w:r>
          </w:p>
        </w:tc>
        <w:tc>
          <w:tcPr>
            <w:tcW w:type="dxa" w:w="460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Tailor framework, appetite, taxonomy, governance</w:t>
            </w:r>
          </w:p>
        </w:tc>
        <w:tc>
          <w:tcPr>
            <w:tcW w:type="dxa" w:w="345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ERM framework &amp; policy; RACI</w:t>
            </w:r>
          </w:p>
        </w:tc>
      </w:tr>
      <w:tr>
        <w:tc>
          <w:tcPr>
            <w:tcW w:type="dxa" w:w="1584"/>
          </w:tcPr>
          <w:p>
            <w:r/>
            <w:r>
              <w:rPr>
                <w:rFonts w:ascii="Arial" w:hAnsi="Arial"/>
                <w:b w:val="0"/>
                <w:sz w:val="16"/>
              </w:rPr>
              <w:t>Build</w:t>
            </w:r>
          </w:p>
        </w:tc>
        <w:tc>
          <w:tcPr>
            <w:tcW w:type="dxa" w:w="1152"/>
          </w:tcPr>
          <w:p>
            <w:r/>
            <w:r>
              <w:rPr>
                <w:rFonts w:ascii="Arial" w:hAnsi="Arial"/>
                <w:b w:val="0"/>
                <w:sz w:val="16"/>
              </w:rPr>
              <w:t>7–10</w:t>
            </w:r>
          </w:p>
        </w:tc>
        <w:tc>
          <w:tcPr>
            <w:tcW w:type="dxa" w:w="4608"/>
          </w:tcPr>
          <w:p>
            <w:r/>
            <w:r>
              <w:rPr>
                <w:rFonts w:ascii="Arial" w:hAnsi="Arial"/>
                <w:b w:val="0"/>
                <w:sz w:val="16"/>
              </w:rPr>
              <w:t>Populate register; define KRIs; set controls</w:t>
            </w:r>
          </w:p>
        </w:tc>
        <w:tc>
          <w:tcPr>
            <w:tcW w:type="dxa" w:w="3456"/>
          </w:tcPr>
          <w:p>
            <w:r/>
            <w:r>
              <w:rPr>
                <w:rFonts w:ascii="Arial" w:hAnsi="Arial"/>
                <w:b w:val="0"/>
                <w:sz w:val="16"/>
              </w:rPr>
              <w:t>Enterprise risk register; KRI library</w:t>
            </w:r>
          </w:p>
        </w:tc>
      </w:tr>
      <w:tr>
        <w:tc>
          <w:tcPr>
            <w:tcW w:type="dxa" w:w="158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Embed</w:t>
            </w:r>
          </w:p>
        </w:tc>
        <w:tc>
          <w:tcPr>
            <w:tcW w:type="dxa" w:w="1152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11–12</w:t>
            </w:r>
          </w:p>
        </w:tc>
        <w:tc>
          <w:tcPr>
            <w:tcW w:type="dxa" w:w="460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Train; launch reporting; culture activation</w:t>
            </w:r>
          </w:p>
        </w:tc>
        <w:tc>
          <w:tcPr>
            <w:tcW w:type="dxa" w:w="345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Board risk report; training pack</w:t>
            </w:r>
          </w:p>
        </w:tc>
      </w:tr>
      <w:tr>
        <w:tc>
          <w:tcPr>
            <w:tcW w:type="dxa" w:w="1584"/>
          </w:tcPr>
          <w:p>
            <w:r/>
            <w:r>
              <w:rPr>
                <w:rFonts w:ascii="Arial" w:hAnsi="Arial"/>
                <w:b w:val="0"/>
                <w:sz w:val="16"/>
              </w:rPr>
              <w:t>Assure</w:t>
            </w:r>
          </w:p>
        </w:tc>
        <w:tc>
          <w:tcPr>
            <w:tcW w:type="dxa" w:w="1152"/>
          </w:tcPr>
          <w:p>
            <w:r/>
            <w:r>
              <w:rPr>
                <w:rFonts w:ascii="Arial" w:hAnsi="Arial"/>
                <w:b w:val="0"/>
                <w:sz w:val="16"/>
              </w:rPr>
              <w:t>Ongoing</w:t>
            </w:r>
          </w:p>
        </w:tc>
        <w:tc>
          <w:tcPr>
            <w:tcW w:type="dxa" w:w="4608"/>
          </w:tcPr>
          <w:p>
            <w:r/>
            <w:r>
              <w:rPr>
                <w:rFonts w:ascii="Arial" w:hAnsi="Arial"/>
                <w:b w:val="0"/>
                <w:sz w:val="16"/>
              </w:rPr>
              <w:t>Test controls; benchmark; re-assess</w:t>
            </w:r>
          </w:p>
        </w:tc>
        <w:tc>
          <w:tcPr>
            <w:tcW w:type="dxa" w:w="3456"/>
          </w:tcPr>
          <w:p>
            <w:r/>
            <w:r>
              <w:rPr>
                <w:rFonts w:ascii="Arial" w:hAnsi="Arial"/>
                <w:b w:val="0"/>
                <w:sz w:val="16"/>
              </w:rPr>
              <w:t>Assurance map; re-score</w:t>
            </w:r>
          </w:p>
        </w:tc>
      </w:tr>
    </w:tbl>
    <w:p>
      <w:pPr>
        <w:pStyle w:val="Heading1"/>
      </w:pPr>
      <w:r>
        <w:t>2. Templates</w:t>
      </w:r>
    </w:p>
    <w:p>
      <w:pPr>
        <w:pStyle w:val="Heading2"/>
      </w:pPr>
      <w:r>
        <w:t>2.1 Risk taxonomy (enterprise categories)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316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Category</w:t>
            </w:r>
          </w:p>
        </w:tc>
        <w:tc>
          <w:tcPr>
            <w:tcW w:type="dxa" w:w="835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Definition</w:t>
            </w:r>
          </w:p>
        </w:tc>
      </w:tr>
      <w:tr>
        <w:tc>
          <w:tcPr>
            <w:tcW w:type="dxa" w:w="3168"/>
          </w:tcPr>
          <w:p>
            <w:r/>
            <w:r>
              <w:rPr>
                <w:rFonts w:ascii="Arial" w:hAnsi="Arial"/>
                <w:b w:val="0"/>
                <w:sz w:val="16"/>
              </w:rPr>
              <w:t>Strategic</w:t>
            </w:r>
          </w:p>
        </w:tc>
        <w:tc>
          <w:tcPr>
            <w:tcW w:type="dxa" w:w="8352"/>
          </w:tcPr>
          <w:p>
            <w:r/>
            <w:r>
              <w:rPr>
                <w:rFonts w:ascii="Arial" w:hAnsi="Arial"/>
                <w:b w:val="0"/>
                <w:sz w:val="16"/>
              </w:rPr>
              <w:t>Risks to strategy, business model and value</w:t>
            </w:r>
          </w:p>
        </w:tc>
      </w:tr>
      <w:tr>
        <w:tc>
          <w:tcPr>
            <w:tcW w:type="dxa" w:w="316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Financial</w:t>
            </w:r>
          </w:p>
        </w:tc>
        <w:tc>
          <w:tcPr>
            <w:tcW w:type="dxa" w:w="8352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Liquidity, credit, market, capital, reporting</w:t>
            </w:r>
          </w:p>
        </w:tc>
      </w:tr>
      <w:tr>
        <w:tc>
          <w:tcPr>
            <w:tcW w:type="dxa" w:w="3168"/>
          </w:tcPr>
          <w:p>
            <w:r/>
            <w:r>
              <w:rPr>
                <w:rFonts w:ascii="Arial" w:hAnsi="Arial"/>
                <w:b w:val="0"/>
                <w:sz w:val="16"/>
              </w:rPr>
              <w:t>Operational</w:t>
            </w:r>
          </w:p>
        </w:tc>
        <w:tc>
          <w:tcPr>
            <w:tcW w:type="dxa" w:w="8352"/>
          </w:tcPr>
          <w:p>
            <w:r/>
            <w:r>
              <w:rPr>
                <w:rFonts w:ascii="Arial" w:hAnsi="Arial"/>
                <w:b w:val="0"/>
                <w:sz w:val="16"/>
              </w:rPr>
              <w:t>Process, people, systems, external events</w:t>
            </w:r>
          </w:p>
        </w:tc>
      </w:tr>
      <w:tr>
        <w:tc>
          <w:tcPr>
            <w:tcW w:type="dxa" w:w="316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Compliance/Legal</w:t>
            </w:r>
          </w:p>
        </w:tc>
        <w:tc>
          <w:tcPr>
            <w:tcW w:type="dxa" w:w="8352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Regulatory, legal, conduct</w:t>
            </w:r>
          </w:p>
        </w:tc>
      </w:tr>
      <w:tr>
        <w:tc>
          <w:tcPr>
            <w:tcW w:type="dxa" w:w="3168"/>
          </w:tcPr>
          <w:p>
            <w:r/>
            <w:r>
              <w:rPr>
                <w:rFonts w:ascii="Arial" w:hAnsi="Arial"/>
                <w:b w:val="0"/>
                <w:sz w:val="16"/>
              </w:rPr>
              <w:t>Technology/Cyber</w:t>
            </w:r>
          </w:p>
        </w:tc>
        <w:tc>
          <w:tcPr>
            <w:tcW w:type="dxa" w:w="8352"/>
          </w:tcPr>
          <w:p>
            <w:r/>
            <w:r>
              <w:rPr>
                <w:rFonts w:ascii="Arial" w:hAnsi="Arial"/>
                <w:b w:val="0"/>
                <w:sz w:val="16"/>
              </w:rPr>
              <w:t>Cyber, data, AI, technology</w:t>
            </w:r>
          </w:p>
        </w:tc>
      </w:tr>
      <w:tr>
        <w:tc>
          <w:tcPr>
            <w:tcW w:type="dxa" w:w="316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Third-Party</w:t>
            </w:r>
          </w:p>
        </w:tc>
        <w:tc>
          <w:tcPr>
            <w:tcW w:type="dxa" w:w="8352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Vendor, supplier, outsourcing</w:t>
            </w:r>
          </w:p>
        </w:tc>
      </w:tr>
      <w:tr>
        <w:tc>
          <w:tcPr>
            <w:tcW w:type="dxa" w:w="3168"/>
          </w:tcPr>
          <w:p>
            <w:r/>
            <w:r>
              <w:rPr>
                <w:rFonts w:ascii="Arial" w:hAnsi="Arial"/>
                <w:b w:val="0"/>
                <w:sz w:val="16"/>
              </w:rPr>
              <w:t>Reputational</w:t>
            </w:r>
          </w:p>
        </w:tc>
        <w:tc>
          <w:tcPr>
            <w:tcW w:type="dxa" w:w="8352"/>
          </w:tcPr>
          <w:p>
            <w:r/>
            <w:r>
              <w:rPr>
                <w:rFonts w:ascii="Arial" w:hAnsi="Arial"/>
                <w:b w:val="0"/>
                <w:sz w:val="16"/>
              </w:rPr>
              <w:t>Brand, stakeholder, trust</w:t>
            </w:r>
          </w:p>
        </w:tc>
      </w:tr>
      <w:tr>
        <w:tc>
          <w:tcPr>
            <w:tcW w:type="dxa" w:w="316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ESG/Climate</w:t>
            </w:r>
          </w:p>
        </w:tc>
        <w:tc>
          <w:tcPr>
            <w:tcW w:type="dxa" w:w="8352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Environmental, social, governance, climate</w:t>
            </w:r>
          </w:p>
        </w:tc>
      </w:tr>
      <w:tr>
        <w:tc>
          <w:tcPr>
            <w:tcW w:type="dxa" w:w="3168"/>
          </w:tcPr>
          <w:p>
            <w:r/>
            <w:r>
              <w:rPr>
                <w:rFonts w:ascii="Arial" w:hAnsi="Arial"/>
                <w:b w:val="0"/>
                <w:sz w:val="16"/>
              </w:rPr>
              <w:t>Fraud/Financial Crime</w:t>
            </w:r>
          </w:p>
        </w:tc>
        <w:tc>
          <w:tcPr>
            <w:tcW w:type="dxa" w:w="8352"/>
          </w:tcPr>
          <w:p>
            <w:r/>
            <w:r>
              <w:rPr>
                <w:rFonts w:ascii="Arial" w:hAnsi="Arial"/>
                <w:b w:val="0"/>
                <w:sz w:val="16"/>
              </w:rPr>
              <w:t>Internal/external fraud, bribery, corruption</w:t>
            </w:r>
          </w:p>
        </w:tc>
      </w:tr>
      <w:tr>
        <w:tc>
          <w:tcPr>
            <w:tcW w:type="dxa" w:w="316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People/HR</w:t>
            </w:r>
          </w:p>
        </w:tc>
        <w:tc>
          <w:tcPr>
            <w:tcW w:type="dxa" w:w="8352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Talent, key-person, culture</w:t>
            </w:r>
          </w:p>
        </w:tc>
      </w:tr>
    </w:tbl>
    <w:p>
      <w:pPr>
        <w:pStyle w:val="Heading2"/>
      </w:pPr>
      <w:r>
        <w:t>2.2 Enterprise risk register (structure + sample)</w:t>
      </w:r>
    </w:p>
    <w:p>
      <w:r>
        <w:rPr>
          <w:b w:val="0"/>
          <w:i w:val="0"/>
          <w:sz w:val="20"/>
        </w:rPr>
        <w:t>Full working register supplied as Enterprise_Risk_Register.xlsx. Column structure:</w:t>
      </w:r>
    </w:p>
    <w:p>
      <w:r>
        <w:rPr>
          <w:b w:val="0"/>
          <w:i w:val="0"/>
          <w:sz w:val="19"/>
        </w:rPr>
        <w:t>Risk ID · Category · Risk Description · Cause · Consequence · Owner · Likelihood (1-5) · Impact (1-5) · Inherent Score · Inherent Rating · Existing Controls · Control Effectiveness · Residual Likelihood · Residual Impact · Residual Score · Residual Rating · Treatment Strategy · Action · Action Owner · Target Date · Status.</w:t>
      </w:r>
    </w:p>
    <w:p>
      <w:pPr>
        <w:pStyle w:val="Heading3"/>
      </w:pPr>
      <w:r>
        <w:t>Sample entries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224"/>
        <w:gridCol w:w="1224"/>
        <w:gridCol w:w="1224"/>
        <w:gridCol w:w="1224"/>
        <w:gridCol w:w="1224"/>
        <w:gridCol w:w="1224"/>
        <w:gridCol w:w="1224"/>
        <w:gridCol w:w="1224"/>
      </w:tblGrid>
      <w:tr>
        <w:tc>
          <w:tcPr>
            <w:tcW w:type="dxa" w:w="100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ID</w:t>
            </w:r>
          </w:p>
        </w:tc>
        <w:tc>
          <w:tcPr>
            <w:tcW w:type="dxa" w:w="158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Category</w:t>
            </w:r>
          </w:p>
        </w:tc>
        <w:tc>
          <w:tcPr>
            <w:tcW w:type="dxa" w:w="374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Risk</w:t>
            </w:r>
          </w:p>
        </w:tc>
        <w:tc>
          <w:tcPr>
            <w:tcW w:type="dxa" w:w="57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</w:t>
            </w:r>
          </w:p>
        </w:tc>
        <w:tc>
          <w:tcPr>
            <w:tcW w:type="dxa" w:w="57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I</w:t>
            </w:r>
          </w:p>
        </w:tc>
        <w:tc>
          <w:tcPr>
            <w:tcW w:type="dxa" w:w="100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Score</w:t>
            </w:r>
          </w:p>
        </w:tc>
        <w:tc>
          <w:tcPr>
            <w:tcW w:type="dxa" w:w="129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Rating</w:t>
            </w:r>
          </w:p>
        </w:tc>
        <w:tc>
          <w:tcPr>
            <w:tcW w:type="dxa" w:w="244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Treatment</w:t>
            </w:r>
          </w:p>
        </w:tc>
      </w:tr>
      <w:tr>
        <w:tc>
          <w:tcPr>
            <w:tcW w:type="dxa" w:w="1008"/>
          </w:tcPr>
          <w:p>
            <w:r/>
            <w:r>
              <w:rPr>
                <w:rFonts w:ascii="Arial" w:hAnsi="Arial"/>
                <w:b w:val="0"/>
                <w:sz w:val="16"/>
              </w:rPr>
              <w:t>ER-001</w:t>
            </w:r>
          </w:p>
        </w:tc>
        <w:tc>
          <w:tcPr>
            <w:tcW w:type="dxa" w:w="1584"/>
          </w:tcPr>
          <w:p>
            <w:r/>
            <w:r>
              <w:rPr>
                <w:rFonts w:ascii="Arial" w:hAnsi="Arial"/>
                <w:b w:val="0"/>
                <w:sz w:val="16"/>
              </w:rPr>
              <w:t>Financial</w:t>
            </w:r>
          </w:p>
        </w:tc>
        <w:tc>
          <w:tcPr>
            <w:tcW w:type="dxa" w:w="3744"/>
          </w:tcPr>
          <w:p>
            <w:r/>
            <w:r>
              <w:rPr>
                <w:rFonts w:ascii="Arial" w:hAnsi="Arial"/>
                <w:b w:val="0"/>
                <w:sz w:val="16"/>
              </w:rPr>
              <w:t>FX depreciation erodes import margin</w:t>
            </w:r>
          </w:p>
        </w:tc>
        <w:tc>
          <w:tcPr>
            <w:tcW w:type="dxa" w:w="576"/>
          </w:tcPr>
          <w:p>
            <w:r/>
            <w:r>
              <w:rPr>
                <w:rFonts w:ascii="Arial" w:hAnsi="Arial"/>
                <w:b w:val="0"/>
                <w:sz w:val="16"/>
              </w:rPr>
              <w:t>4</w:t>
            </w:r>
          </w:p>
        </w:tc>
        <w:tc>
          <w:tcPr>
            <w:tcW w:type="dxa" w:w="576"/>
          </w:tcPr>
          <w:p>
            <w:r/>
            <w:r>
              <w:rPr>
                <w:rFonts w:ascii="Arial" w:hAnsi="Arial"/>
                <w:b w:val="0"/>
                <w:sz w:val="16"/>
              </w:rPr>
              <w:t>4</w:t>
            </w:r>
          </w:p>
        </w:tc>
        <w:tc>
          <w:tcPr>
            <w:tcW w:type="dxa" w:w="1008"/>
          </w:tcPr>
          <w:p>
            <w:r/>
            <w:r>
              <w:rPr>
                <w:rFonts w:ascii="Arial" w:hAnsi="Arial"/>
                <w:b w:val="0"/>
                <w:sz w:val="16"/>
              </w:rPr>
              <w:t>16</w:t>
            </w:r>
          </w:p>
        </w:tc>
        <w:tc>
          <w:tcPr>
            <w:tcW w:type="dxa" w:w="1296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Critical</w:t>
            </w:r>
          </w:p>
        </w:tc>
        <w:tc>
          <w:tcPr>
            <w:tcW w:type="dxa" w:w="2448"/>
          </w:tcPr>
          <w:p>
            <w:r/>
            <w:r>
              <w:rPr>
                <w:rFonts w:ascii="Arial" w:hAnsi="Arial"/>
                <w:b w:val="0"/>
                <w:sz w:val="16"/>
              </w:rPr>
              <w:t>Treat — hedge to 70%</w:t>
            </w:r>
          </w:p>
        </w:tc>
      </w:tr>
      <w:tr>
        <w:tc>
          <w:tcPr>
            <w:tcW w:type="dxa" w:w="100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ER-002</w:t>
            </w:r>
          </w:p>
        </w:tc>
        <w:tc>
          <w:tcPr>
            <w:tcW w:type="dxa" w:w="158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Cyber</w:t>
            </w:r>
          </w:p>
        </w:tc>
        <w:tc>
          <w:tcPr>
            <w:tcW w:type="dxa" w:w="37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Ransomware disrupts core systems</w:t>
            </w:r>
          </w:p>
        </w:tc>
        <w:tc>
          <w:tcPr>
            <w:tcW w:type="dxa" w:w="57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3</w:t>
            </w:r>
          </w:p>
        </w:tc>
        <w:tc>
          <w:tcPr>
            <w:tcW w:type="dxa" w:w="57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5</w:t>
            </w:r>
          </w:p>
        </w:tc>
        <w:tc>
          <w:tcPr>
            <w:tcW w:type="dxa" w:w="100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15</w:t>
            </w:r>
          </w:p>
        </w:tc>
        <w:tc>
          <w:tcPr>
            <w:tcW w:type="dxa" w:w="1296"/>
            <w:shd w:val="clear" w:fill="F4F7FB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Critical</w:t>
            </w:r>
          </w:p>
        </w:tc>
        <w:tc>
          <w:tcPr>
            <w:tcW w:type="dxa" w:w="244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Treat — IR plan &amp; backups</w:t>
            </w:r>
          </w:p>
        </w:tc>
      </w:tr>
      <w:tr>
        <w:tc>
          <w:tcPr>
            <w:tcW w:type="dxa" w:w="1008"/>
          </w:tcPr>
          <w:p>
            <w:r/>
            <w:r>
              <w:rPr>
                <w:rFonts w:ascii="Arial" w:hAnsi="Arial"/>
                <w:b w:val="0"/>
                <w:sz w:val="16"/>
              </w:rPr>
              <w:t>ER-003</w:t>
            </w:r>
          </w:p>
        </w:tc>
        <w:tc>
          <w:tcPr>
            <w:tcW w:type="dxa" w:w="1584"/>
          </w:tcPr>
          <w:p>
            <w:r/>
            <w:r>
              <w:rPr>
                <w:rFonts w:ascii="Arial" w:hAnsi="Arial"/>
                <w:b w:val="0"/>
                <w:sz w:val="16"/>
              </w:rPr>
              <w:t>Strategic</w:t>
            </w:r>
          </w:p>
        </w:tc>
        <w:tc>
          <w:tcPr>
            <w:tcW w:type="dxa" w:w="3744"/>
          </w:tcPr>
          <w:p>
            <w:r/>
            <w:r>
              <w:rPr>
                <w:rFonts w:ascii="Arial" w:hAnsi="Arial"/>
                <w:b w:val="0"/>
                <w:sz w:val="16"/>
              </w:rPr>
              <w:t>Disruptive competitor erodes share</w:t>
            </w:r>
          </w:p>
        </w:tc>
        <w:tc>
          <w:tcPr>
            <w:tcW w:type="dxa" w:w="576"/>
          </w:tcPr>
          <w:p>
            <w:r/>
            <w:r>
              <w:rPr>
                <w:rFonts w:ascii="Arial" w:hAnsi="Arial"/>
                <w:b w:val="0"/>
                <w:sz w:val="16"/>
              </w:rPr>
              <w:t>3</w:t>
            </w:r>
          </w:p>
        </w:tc>
        <w:tc>
          <w:tcPr>
            <w:tcW w:type="dxa" w:w="576"/>
          </w:tcPr>
          <w:p>
            <w:r/>
            <w:r>
              <w:rPr>
                <w:rFonts w:ascii="Arial" w:hAnsi="Arial"/>
                <w:b w:val="0"/>
                <w:sz w:val="16"/>
              </w:rPr>
              <w:t>4</w:t>
            </w:r>
          </w:p>
        </w:tc>
        <w:tc>
          <w:tcPr>
            <w:tcW w:type="dxa" w:w="1008"/>
          </w:tcPr>
          <w:p>
            <w:r/>
            <w:r>
              <w:rPr>
                <w:rFonts w:ascii="Arial" w:hAnsi="Arial"/>
                <w:b w:val="0"/>
                <w:sz w:val="16"/>
              </w:rPr>
              <w:t>12</w:t>
            </w:r>
          </w:p>
        </w:tc>
        <w:tc>
          <w:tcPr>
            <w:tcW w:type="dxa" w:w="1296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High</w:t>
            </w:r>
          </w:p>
        </w:tc>
        <w:tc>
          <w:tcPr>
            <w:tcW w:type="dxa" w:w="2448"/>
          </w:tcPr>
          <w:p>
            <w:r/>
            <w:r>
              <w:rPr>
                <w:rFonts w:ascii="Arial" w:hAnsi="Arial"/>
                <w:b w:val="0"/>
                <w:sz w:val="16"/>
              </w:rPr>
              <w:t>Treat — accelerate roadmap</w:t>
            </w:r>
          </w:p>
        </w:tc>
      </w:tr>
      <w:tr>
        <w:tc>
          <w:tcPr>
            <w:tcW w:type="dxa" w:w="100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ER-005</w:t>
            </w:r>
          </w:p>
        </w:tc>
        <w:tc>
          <w:tcPr>
            <w:tcW w:type="dxa" w:w="158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Fraud</w:t>
            </w:r>
          </w:p>
        </w:tc>
        <w:tc>
          <w:tcPr>
            <w:tcW w:type="dxa" w:w="37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Procurement fraud via collusion</w:t>
            </w:r>
          </w:p>
        </w:tc>
        <w:tc>
          <w:tcPr>
            <w:tcW w:type="dxa" w:w="57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3</w:t>
            </w:r>
          </w:p>
        </w:tc>
        <w:tc>
          <w:tcPr>
            <w:tcW w:type="dxa" w:w="57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3</w:t>
            </w:r>
          </w:p>
        </w:tc>
        <w:tc>
          <w:tcPr>
            <w:tcW w:type="dxa" w:w="100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9</w:t>
            </w:r>
          </w:p>
        </w:tc>
        <w:tc>
          <w:tcPr>
            <w:tcW w:type="dxa" w:w="1296"/>
            <w:shd w:val="clear" w:fill="F4F7FB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High</w:t>
            </w:r>
          </w:p>
        </w:tc>
        <w:tc>
          <w:tcPr>
            <w:tcW w:type="dxa" w:w="244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Treat — anti-fraud analytics</w:t>
            </w:r>
          </w:p>
        </w:tc>
      </w:tr>
    </w:tbl>
    <w:p>
      <w:pPr>
        <w:pStyle w:val="Heading2"/>
      </w:pPr>
      <w:r>
        <w:t>2.3 KRI library (sample)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c>
          <w:tcPr>
            <w:tcW w:type="dxa" w:w="230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Risk type</w:t>
            </w:r>
          </w:p>
        </w:tc>
        <w:tc>
          <w:tcPr>
            <w:tcW w:type="dxa" w:w="489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KRI</w:t>
            </w:r>
          </w:p>
        </w:tc>
        <w:tc>
          <w:tcPr>
            <w:tcW w:type="dxa" w:w="288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Threshold</w:t>
            </w:r>
          </w:p>
        </w:tc>
      </w:tr>
      <w:tr>
        <w:tc>
          <w:tcPr>
            <w:tcW w:type="dxa" w:w="2304"/>
          </w:tcPr>
          <w:p>
            <w:r/>
            <w:r>
              <w:rPr>
                <w:rFonts w:ascii="Arial" w:hAnsi="Arial"/>
                <w:b w:val="0"/>
                <w:sz w:val="16"/>
              </w:rPr>
              <w:t>Liquidity</w:t>
            </w:r>
          </w:p>
        </w:tc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Days cash on hand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/>
                <w:b w:val="0"/>
                <w:sz w:val="16"/>
              </w:rPr>
              <w:t>≥ 60 days</w:t>
            </w:r>
          </w:p>
        </w:tc>
      </w:tr>
      <w:tr>
        <w:tc>
          <w:tcPr>
            <w:tcW w:type="dxa" w:w="230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Credit</w:t>
            </w:r>
          </w:p>
        </w:tc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Largest counterparty %</w:t>
            </w:r>
          </w:p>
        </w:tc>
        <w:tc>
          <w:tcPr>
            <w:tcW w:type="dxa" w:w="288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≤ 20%</w:t>
            </w:r>
          </w:p>
        </w:tc>
      </w:tr>
      <w:tr>
        <w:tc>
          <w:tcPr>
            <w:tcW w:type="dxa" w:w="2304"/>
          </w:tcPr>
          <w:p>
            <w:r/>
            <w:r>
              <w:rPr>
                <w:rFonts w:ascii="Arial" w:hAnsi="Arial"/>
                <w:b w:val="0"/>
                <w:sz w:val="16"/>
              </w:rPr>
              <w:t>Operational</w:t>
            </w:r>
          </w:p>
        </w:tc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Open critical control issues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/>
                <w:b w:val="0"/>
                <w:sz w:val="16"/>
              </w:rPr>
              <w:t>0</w:t>
            </w:r>
          </w:p>
        </w:tc>
      </w:tr>
      <w:tr>
        <w:tc>
          <w:tcPr>
            <w:tcW w:type="dxa" w:w="230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Cyber</w:t>
            </w:r>
          </w:p>
        </w:tc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Open critical vulnerabilities</w:t>
            </w:r>
          </w:p>
        </w:tc>
        <w:tc>
          <w:tcPr>
            <w:tcW w:type="dxa" w:w="288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0</w:t>
            </w:r>
          </w:p>
        </w:tc>
      </w:tr>
      <w:tr>
        <w:tc>
          <w:tcPr>
            <w:tcW w:type="dxa" w:w="2304"/>
          </w:tcPr>
          <w:p>
            <w:r/>
            <w:r>
              <w:rPr>
                <w:rFonts w:ascii="Arial" w:hAnsi="Arial"/>
                <w:b w:val="0"/>
                <w:sz w:val="16"/>
              </w:rPr>
              <w:t>Compliance</w:t>
            </w:r>
          </w:p>
        </w:tc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Regulatory breaches YTD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/>
                <w:b w:val="0"/>
                <w:sz w:val="16"/>
              </w:rPr>
              <w:t>0</w:t>
            </w:r>
          </w:p>
        </w:tc>
      </w:tr>
      <w:tr>
        <w:tc>
          <w:tcPr>
            <w:tcW w:type="dxa" w:w="230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People</w:t>
            </w:r>
          </w:p>
        </w:tc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Key-role vacancy duration</w:t>
            </w:r>
          </w:p>
        </w:tc>
        <w:tc>
          <w:tcPr>
            <w:tcW w:type="dxa" w:w="288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&lt; 60 days</w:t>
            </w:r>
          </w:p>
        </w:tc>
      </w:tr>
    </w:tbl>
    <w:p>
      <w:pPr>
        <w:pStyle w:val="Heading1"/>
      </w:pPr>
      <w:r>
        <w:t>3. Registers</w:t>
      </w:r>
    </w:p>
    <w:p>
      <w:r>
        <w:rPr>
          <w:b w:val="0"/>
          <w:i w:val="0"/>
          <w:sz w:val="20"/>
        </w:rPr>
        <w:t>This toolkit ships with working spreadsheet registers (separate XLSX files): Enterprise Risk Register, Operational Risk Register, Strategic Risk Register, Incident Register and Loss Event Register — each with live scoring formulas, RAG conditional formatting, drop-downs and sample entries.</w:t>
      </w:r>
    </w:p>
    <w:p>
      <w:pPr>
        <w:pStyle w:val="Heading1"/>
      </w:pPr>
      <w:r>
        <w:t>4. Checklists</w:t>
      </w:r>
    </w:p>
    <w:p>
      <w:pPr>
        <w:pStyle w:val="Heading2"/>
      </w:pPr>
      <w:r>
        <w:t>ERM implementation checklist</w:t>
      </w:r>
    </w:p>
    <w:p>
      <w:pPr>
        <w:ind w:left="288"/>
      </w:pPr>
      <w:r>
        <w:rPr>
          <w:sz w:val="19"/>
        </w:rPr>
        <w:t>☐  Board-approved ERM policy and mandate in place</w:t>
      </w:r>
    </w:p>
    <w:p>
      <w:pPr>
        <w:ind w:left="288"/>
      </w:pPr>
      <w:r>
        <w:rPr>
          <w:sz w:val="19"/>
        </w:rPr>
        <w:t>☐  Risk appetite defined with measurable tolerances</w:t>
      </w:r>
    </w:p>
    <w:p>
      <w:pPr>
        <w:ind w:left="288"/>
      </w:pPr>
      <w:r>
        <w:rPr>
          <w:sz w:val="19"/>
        </w:rPr>
        <w:t>☐  Enterprise risk taxonomy adopted</w:t>
      </w:r>
    </w:p>
    <w:p>
      <w:pPr>
        <w:ind w:left="288"/>
      </w:pPr>
      <w:r>
        <w:rPr>
          <w:sz w:val="19"/>
        </w:rPr>
        <w:t>☐  Risk register populated with owners and scores</w:t>
      </w:r>
    </w:p>
    <w:p>
      <w:pPr>
        <w:ind w:left="288"/>
      </w:pPr>
      <w:r>
        <w:rPr>
          <w:sz w:val="19"/>
        </w:rPr>
        <w:t>☐  Treatment strategy set for every Critical/High risk</w:t>
      </w:r>
    </w:p>
    <w:p>
      <w:pPr>
        <w:ind w:left="288"/>
      </w:pPr>
      <w:r>
        <w:rPr>
          <w:sz w:val="19"/>
        </w:rPr>
        <w:t>☐  KRI library defined with thresholds</w:t>
      </w:r>
    </w:p>
    <w:p>
      <w:pPr>
        <w:ind w:left="288"/>
      </w:pPr>
      <w:r>
        <w:rPr>
          <w:sz w:val="19"/>
        </w:rPr>
        <w:t>☐  Controls documented and tested</w:t>
      </w:r>
    </w:p>
    <w:p>
      <w:pPr>
        <w:ind w:left="288"/>
      </w:pPr>
      <w:r>
        <w:rPr>
          <w:sz w:val="19"/>
        </w:rPr>
        <w:t>☐  Board risk reporting on a set cadence</w:t>
      </w:r>
    </w:p>
    <w:p>
      <w:pPr>
        <w:ind w:left="288"/>
      </w:pPr>
      <w:r>
        <w:rPr>
          <w:sz w:val="19"/>
        </w:rPr>
        <w:t>☐  Incident and loss capture operating</w:t>
      </w:r>
    </w:p>
    <w:p>
      <w:pPr>
        <w:ind w:left="288"/>
      </w:pPr>
      <w:r>
        <w:rPr>
          <w:sz w:val="19"/>
        </w:rPr>
        <w:t>☐  Risk culture measured and acted upon</w:t>
      </w:r>
    </w:p>
    <w:p>
      <w:pPr>
        <w:ind w:left="288"/>
      </w:pPr>
      <w:r>
        <w:rPr>
          <w:sz w:val="19"/>
        </w:rPr>
        <w:t>☐  Annual re-assessment scheduled</w:t>
      </w:r>
    </w:p>
    <w:p>
      <w:pPr>
        <w:pStyle w:val="Heading2"/>
      </w:pPr>
      <w:r>
        <w:t>Governance Structure</w:t>
      </w:r>
    </w:p>
    <w:p>
      <w:r>
        <w:rPr>
          <w:b w:val="0"/>
          <w:i w:val="0"/>
          <w:sz w:val="20"/>
        </w:rPr>
        <w:t>Risk is governed through three lines of defence under board oversight: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c>
          <w:tcPr>
            <w:tcW w:type="dxa" w:w="273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Layer</w:t>
            </w:r>
          </w:p>
        </w:tc>
        <w:tc>
          <w:tcPr>
            <w:tcW w:type="dxa" w:w="244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Role</w:t>
            </w:r>
          </w:p>
        </w:tc>
        <w:tc>
          <w:tcPr>
            <w:tcW w:type="dxa" w:w="489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Responsibility</w:t>
            </w:r>
          </w:p>
        </w:tc>
      </w:tr>
      <w:tr>
        <w:tc>
          <w:tcPr>
            <w:tcW w:type="dxa" w:w="2736"/>
          </w:tcPr>
          <w:p>
            <w:r/>
            <w:r>
              <w:rPr>
                <w:rFonts w:ascii="Arial" w:hAnsi="Arial"/>
                <w:b w:val="0"/>
                <w:sz w:val="16"/>
              </w:rPr>
              <w:t>Board</w:t>
            </w:r>
          </w:p>
        </w:tc>
        <w:tc>
          <w:tcPr>
            <w:tcW w:type="dxa" w:w="2448"/>
          </w:tcPr>
          <w:p>
            <w:r/>
            <w:r>
              <w:rPr>
                <w:rFonts w:ascii="Arial" w:hAnsi="Arial"/>
                <w:b w:val="0"/>
                <w:sz w:val="16"/>
              </w:rPr>
              <w:t>Oversight</w:t>
            </w:r>
          </w:p>
        </w:tc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Approves policy, appetite; oversees the risk profile</w:t>
            </w:r>
          </w:p>
        </w:tc>
      </w:tr>
      <w:tr>
        <w:tc>
          <w:tcPr>
            <w:tcW w:type="dxa" w:w="273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Risk / Audit Committee</w:t>
            </w:r>
          </w:p>
        </w:tc>
        <w:tc>
          <w:tcPr>
            <w:tcW w:type="dxa" w:w="244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Focused oversight</w:t>
            </w:r>
          </w:p>
        </w:tc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Reviews top risks, appetite, assurance</w:t>
            </w:r>
          </w:p>
        </w:tc>
      </w:tr>
      <w:tr>
        <w:tc>
          <w:tcPr>
            <w:tcW w:type="dxa" w:w="2736"/>
          </w:tcPr>
          <w:p>
            <w:r/>
            <w:r>
              <w:rPr>
                <w:rFonts w:ascii="Arial" w:hAnsi="Arial"/>
                <w:b w:val="0"/>
                <w:sz w:val="16"/>
              </w:rPr>
              <w:t>1st line — Management/owners</w:t>
            </w:r>
          </w:p>
        </w:tc>
        <w:tc>
          <w:tcPr>
            <w:tcW w:type="dxa" w:w="2448"/>
          </w:tcPr>
          <w:p>
            <w:r/>
            <w:r>
              <w:rPr>
                <w:rFonts w:ascii="Arial" w:hAnsi="Arial"/>
                <w:b w:val="0"/>
                <w:sz w:val="16"/>
              </w:rPr>
              <w:t>Own &amp; manage</w:t>
            </w:r>
          </w:p>
        </w:tc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Identify, assess, control and report risk in operations</w:t>
            </w:r>
          </w:p>
        </w:tc>
      </w:tr>
      <w:tr>
        <w:tc>
          <w:tcPr>
            <w:tcW w:type="dxa" w:w="273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2nd line — Risk/Compliance</w:t>
            </w:r>
          </w:p>
        </w:tc>
        <w:tc>
          <w:tcPr>
            <w:tcW w:type="dxa" w:w="244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Oversee &amp; challenge</w:t>
            </w:r>
          </w:p>
        </w:tc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Set framework, monitor, challenge, aggregate reporting</w:t>
            </w:r>
          </w:p>
        </w:tc>
      </w:tr>
      <w:tr>
        <w:tc>
          <w:tcPr>
            <w:tcW w:type="dxa" w:w="2736"/>
          </w:tcPr>
          <w:p>
            <w:r/>
            <w:r>
              <w:rPr>
                <w:rFonts w:ascii="Arial" w:hAnsi="Arial"/>
                <w:b w:val="0"/>
                <w:sz w:val="16"/>
              </w:rPr>
              <w:t>3rd line — Internal Audit</w:t>
            </w:r>
          </w:p>
        </w:tc>
        <w:tc>
          <w:tcPr>
            <w:tcW w:type="dxa" w:w="2448"/>
          </w:tcPr>
          <w:p>
            <w:r/>
            <w:r>
              <w:rPr>
                <w:rFonts w:ascii="Arial" w:hAnsi="Arial"/>
                <w:b w:val="0"/>
                <w:sz w:val="16"/>
              </w:rPr>
              <w:t>Assure</w:t>
            </w:r>
          </w:p>
        </w:tc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Independent assurance over the risk and control system</w:t>
            </w:r>
          </w:p>
        </w:tc>
      </w:tr>
    </w:tbl>
    <w:p>
      <w:pPr>
        <w:pStyle w:val="Heading2"/>
      </w:pPr>
      <w:r>
        <w:t>Reporting Templates</w:t>
      </w:r>
    </w:p>
    <w:p>
      <w:pPr>
        <w:pStyle w:val="Heading3"/>
      </w:pPr>
      <w:r>
        <w:t>Standard enterprise risk report structure</w:t>
      </w:r>
    </w:p>
    <w:p>
      <w:pPr>
        <w:pStyle w:val="ListBullet"/>
      </w:pPr>
      <w:r>
        <w:rPr>
          <w:sz w:val="19"/>
        </w:rPr>
        <w:t>Executive summary &amp; key messages</w:t>
      </w:r>
    </w:p>
    <w:p>
      <w:pPr>
        <w:pStyle w:val="ListBullet"/>
      </w:pPr>
      <w:r>
        <w:rPr>
          <w:sz w:val="19"/>
        </w:rPr>
        <w:t>Profile vs appetite (RAG)</w:t>
      </w:r>
    </w:p>
    <w:p>
      <w:pPr>
        <w:pStyle w:val="ListBullet"/>
      </w:pPr>
      <w:r>
        <w:rPr>
          <w:sz w:val="19"/>
        </w:rPr>
        <w:t>Top risks &amp; movement</w:t>
      </w:r>
    </w:p>
    <w:p>
      <w:pPr>
        <w:pStyle w:val="ListBullet"/>
      </w:pPr>
      <w:r>
        <w:rPr>
          <w:sz w:val="19"/>
        </w:rPr>
        <w:t>KRIs and breaches</w:t>
      </w:r>
    </w:p>
    <w:p>
      <w:pPr>
        <w:pStyle w:val="ListBullet"/>
      </w:pPr>
      <w:r>
        <w:rPr>
          <w:sz w:val="19"/>
        </w:rPr>
        <w:t>Incidents &amp; losses in period</w:t>
      </w:r>
    </w:p>
    <w:p>
      <w:pPr>
        <w:pStyle w:val="ListBullet"/>
      </w:pPr>
      <w:r>
        <w:rPr>
          <w:sz w:val="19"/>
        </w:rPr>
        <w:t>Actions &amp; overdue items</w:t>
      </w:r>
    </w:p>
    <w:p>
      <w:pPr>
        <w:pStyle w:val="ListBullet"/>
      </w:pPr>
      <w:r>
        <w:rPr>
          <w:sz w:val="19"/>
        </w:rPr>
        <w:t>Decisions / escalations sought</w:t>
      </w:r>
    </w:p>
    <w:p>
      <w:pPr>
        <w:pStyle w:val="Heading3"/>
      </w:pPr>
      <w:r>
        <w:t>KRI reporting table (example)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32"/>
        <w:gridCol w:w="1632"/>
        <w:gridCol w:w="1632"/>
        <w:gridCol w:w="1632"/>
        <w:gridCol w:w="1632"/>
        <w:gridCol w:w="1632"/>
      </w:tblGrid>
      <w:tr>
        <w:tc>
          <w:tcPr>
            <w:tcW w:type="dxa" w:w="288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KRI</w:t>
            </w:r>
          </w:p>
        </w:tc>
        <w:tc>
          <w:tcPr>
            <w:tcW w:type="dxa" w:w="144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Current</w:t>
            </w:r>
          </w:p>
        </w:tc>
        <w:tc>
          <w:tcPr>
            <w:tcW w:type="dxa" w:w="172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Threshold</w:t>
            </w:r>
          </w:p>
        </w:tc>
        <w:tc>
          <w:tcPr>
            <w:tcW w:type="dxa" w:w="115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RAG</w:t>
            </w:r>
          </w:p>
        </w:tc>
        <w:tc>
          <w:tcPr>
            <w:tcW w:type="dxa" w:w="129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Trend</w:t>
            </w:r>
          </w:p>
        </w:tc>
        <w:tc>
          <w:tcPr>
            <w:tcW w:type="dxa" w:w="302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Action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/>
                <w:b w:val="0"/>
                <w:sz w:val="16"/>
              </w:rPr>
              <w:t>Days cash on hand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/>
                <w:b w:val="0"/>
                <w:sz w:val="16"/>
              </w:rPr>
              <w:t>78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6"/>
              </w:rPr>
              <w:t>≥60</w:t>
            </w:r>
          </w:p>
        </w:tc>
        <w:tc>
          <w:tcPr>
            <w:tcW w:type="dxa" w:w="1152"/>
            <w:shd w:val="clear" w:fill="2E7D5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Green</w:t>
            </w:r>
          </w:p>
        </w:tc>
        <w:tc>
          <w:tcPr>
            <w:tcW w:type="dxa" w:w="1296"/>
          </w:tcPr>
          <w:p>
            <w:r/>
            <w:r>
              <w:rPr>
                <w:rFonts w:ascii="Arial" w:hAnsi="Arial"/>
                <w:b w:val="0"/>
                <w:sz w:val="16"/>
              </w:rPr>
              <w:t>Up</w:t>
            </w:r>
          </w:p>
        </w:tc>
        <w:tc>
          <w:tcPr>
            <w:tcW w:type="dxa" w:w="3024"/>
          </w:tcPr>
          <w:p>
            <w:r/>
            <w:r>
              <w:rPr>
                <w:rFonts w:ascii="Arial" w:hAnsi="Arial"/>
                <w:b w:val="0"/>
                <w:sz w:val="16"/>
              </w:rPr>
              <w:t>Maintain buffer</w:t>
            </w:r>
          </w:p>
        </w:tc>
      </w:tr>
      <w:tr>
        <w:tc>
          <w:tcPr>
            <w:tcW w:type="dxa" w:w="288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Open critical vulns</w:t>
            </w:r>
          </w:p>
        </w:tc>
        <w:tc>
          <w:tcPr>
            <w:tcW w:type="dxa" w:w="144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1</w:t>
            </w:r>
          </w:p>
        </w:tc>
        <w:tc>
          <w:tcPr>
            <w:tcW w:type="dxa" w:w="172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0</w:t>
            </w:r>
          </w:p>
        </w:tc>
        <w:tc>
          <w:tcPr>
            <w:tcW w:type="dxa" w:w="1152"/>
            <w:shd w:val="clear" w:fill="F4F7FB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Red</w:t>
            </w:r>
          </w:p>
        </w:tc>
        <w:tc>
          <w:tcPr>
            <w:tcW w:type="dxa" w:w="12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Down</w:t>
            </w:r>
          </w:p>
        </w:tc>
        <w:tc>
          <w:tcPr>
            <w:tcW w:type="dxa" w:w="302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Emergency patch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/>
                <w:b w:val="0"/>
                <w:sz w:val="16"/>
              </w:rPr>
              <w:t>Risks over appetite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/>
                <w:b w:val="0"/>
                <w:sz w:val="16"/>
              </w:rPr>
              <w:t>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6"/>
              </w:rPr>
              <w:t>0</w:t>
            </w:r>
          </w:p>
        </w:tc>
        <w:tc>
          <w:tcPr>
            <w:tcW w:type="dxa" w:w="1152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Red</w:t>
            </w:r>
          </w:p>
        </w:tc>
        <w:tc>
          <w:tcPr>
            <w:tcW w:type="dxa" w:w="1296"/>
          </w:tcPr>
          <w:p>
            <w:r/>
            <w:r>
              <w:rPr>
                <w:rFonts w:ascii="Arial" w:hAnsi="Arial"/>
                <w:b w:val="0"/>
                <w:sz w:val="16"/>
              </w:rPr>
              <w:t>Up</w:t>
            </w:r>
          </w:p>
        </w:tc>
        <w:tc>
          <w:tcPr>
            <w:tcW w:type="dxa" w:w="3024"/>
          </w:tcPr>
          <w:p>
            <w:r/>
            <w:r>
              <w:rPr>
                <w:rFonts w:ascii="Arial" w:hAnsi="Arial"/>
                <w:b w:val="0"/>
                <w:sz w:val="16"/>
              </w:rPr>
              <w:t>Escalate to RC</w:t>
            </w:r>
          </w:p>
        </w:tc>
      </w:tr>
      <w:tr>
        <w:tc>
          <w:tcPr>
            <w:tcW w:type="dxa" w:w="288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Overdue actions</w:t>
            </w:r>
          </w:p>
        </w:tc>
        <w:tc>
          <w:tcPr>
            <w:tcW w:type="dxa" w:w="144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3</w:t>
            </w:r>
          </w:p>
        </w:tc>
        <w:tc>
          <w:tcPr>
            <w:tcW w:type="dxa" w:w="172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0</w:t>
            </w:r>
          </w:p>
        </w:tc>
        <w:tc>
          <w:tcPr>
            <w:tcW w:type="dxa" w:w="1152"/>
            <w:shd w:val="clear" w:fill="F4F7FB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12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Up</w:t>
            </w:r>
          </w:p>
        </w:tc>
        <w:tc>
          <w:tcPr>
            <w:tcW w:type="dxa" w:w="302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Chase owners</w:t>
            </w:r>
          </w:p>
        </w:tc>
      </w:tr>
    </w:tbl>
    <w:p>
      <w:pPr>
        <w:pStyle w:val="Heading2"/>
      </w:pPr>
      <w:r>
        <w:t>Board Reporting Example</w:t>
      </w:r>
    </w:p>
    <w:p>
      <w:r>
        <w:rPr>
          <w:b w:val="0"/>
          <w:i/>
          <w:sz w:val="19"/>
        </w:rPr>
        <w:t>Illustrative one-page board summary (replace with live data):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c>
          <w:tcPr>
            <w:tcW w:type="dxa" w:w="273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Item</w:t>
            </w:r>
          </w:p>
        </w:tc>
        <w:tc>
          <w:tcPr>
            <w:tcW w:type="dxa" w:w="144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Status</w:t>
            </w:r>
          </w:p>
        </w:tc>
        <w:tc>
          <w:tcPr>
            <w:tcW w:type="dxa" w:w="734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Commentary</w:t>
            </w:r>
          </w:p>
        </w:tc>
      </w:tr>
      <w:tr>
        <w:tc>
          <w:tcPr>
            <w:tcW w:type="dxa" w:w="2736"/>
          </w:tcPr>
          <w:p>
            <w:r/>
            <w:r>
              <w:rPr>
                <w:rFonts w:ascii="Arial" w:hAnsi="Arial"/>
                <w:b w:val="0"/>
                <w:sz w:val="16"/>
              </w:rPr>
              <w:t>Overall risk profile</w:t>
            </w:r>
          </w:p>
        </w:tc>
        <w:tc>
          <w:tcPr>
            <w:tcW w:type="dxa" w:w="1440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7344"/>
          </w:tcPr>
          <w:p>
            <w:r/>
            <w:r>
              <w:rPr>
                <w:rFonts w:ascii="Arial" w:hAnsi="Arial"/>
                <w:b w:val="0"/>
                <w:sz w:val="16"/>
              </w:rPr>
              <w:t>2 risks above appetite (FX, cyber); both with active mitigation</w:t>
            </w:r>
          </w:p>
        </w:tc>
      </w:tr>
      <w:tr>
        <w:tc>
          <w:tcPr>
            <w:tcW w:type="dxa" w:w="273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Top risk movement</w:t>
            </w:r>
          </w:p>
        </w:tc>
        <w:tc>
          <w:tcPr>
            <w:tcW w:type="dxa" w:w="1440"/>
            <w:shd w:val="clear" w:fill="F4F7FB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73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FX risk rising on naira volatility; hedging being increased</w:t>
            </w:r>
          </w:p>
        </w:tc>
      </w:tr>
      <w:tr>
        <w:tc>
          <w:tcPr>
            <w:tcW w:type="dxa" w:w="2736"/>
          </w:tcPr>
          <w:p>
            <w:r/>
            <w:r>
              <w:rPr>
                <w:rFonts w:ascii="Arial" w:hAnsi="Arial"/>
                <w:b w:val="0"/>
                <w:sz w:val="16"/>
              </w:rPr>
              <w:t>Control effectiveness</w:t>
            </w:r>
          </w:p>
        </w:tc>
        <w:tc>
          <w:tcPr>
            <w:tcW w:type="dxa" w:w="1440"/>
            <w:shd w:val="clear" w:fill="2E7D5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Green</w:t>
            </w:r>
          </w:p>
        </w:tc>
        <w:tc>
          <w:tcPr>
            <w:tcW w:type="dxa" w:w="7344"/>
          </w:tcPr>
          <w:p>
            <w:r/>
            <w:r>
              <w:rPr>
                <w:rFonts w:ascii="Arial" w:hAnsi="Arial"/>
                <w:b w:val="0"/>
                <w:sz w:val="16"/>
              </w:rPr>
              <w:t>93% of key controls effective; remediation on track</w:t>
            </w:r>
          </w:p>
        </w:tc>
      </w:tr>
      <w:tr>
        <w:tc>
          <w:tcPr>
            <w:tcW w:type="dxa" w:w="273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Emerging risks</w:t>
            </w:r>
          </w:p>
        </w:tc>
        <w:tc>
          <w:tcPr>
            <w:tcW w:type="dxa" w:w="1440"/>
            <w:shd w:val="clear" w:fill="F4F7FB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73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AI-enabled fraud added to the watchlist</w:t>
            </w:r>
          </w:p>
        </w:tc>
      </w:tr>
      <w:tr>
        <w:tc>
          <w:tcPr>
            <w:tcW w:type="dxa" w:w="2736"/>
          </w:tcPr>
          <w:p>
            <w:r/>
            <w:r>
              <w:rPr>
                <w:rFonts w:ascii="Arial" w:hAnsi="Arial"/>
                <w:b w:val="0"/>
                <w:sz w:val="16"/>
              </w:rPr>
              <w:t>Decisions sought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/>
                <w:b w:val="0"/>
                <w:sz w:val="16"/>
              </w:rPr>
              <w:t>—</w:t>
            </w:r>
          </w:p>
        </w:tc>
        <w:tc>
          <w:tcPr>
            <w:tcW w:type="dxa" w:w="7344"/>
          </w:tcPr>
          <w:p>
            <w:r/>
            <w:r>
              <w:rPr>
                <w:rFonts w:ascii="Arial" w:hAnsi="Arial"/>
                <w:b w:val="0"/>
                <w:sz w:val="16"/>
              </w:rPr>
              <w:t>Approve increased FX hedge ratio to 70%</w:t>
            </w:r>
          </w:p>
        </w:tc>
      </w:tr>
    </w:tbl>
    <w:p>
      <w:pPr>
        <w:pStyle w:val="Heading2"/>
      </w:pPr>
      <w:r>
        <w:t>Disclaimer</w:t>
      </w:r>
    </w:p>
    <w:p>
      <w:r>
        <w:rPr>
          <w:b w:val="0"/>
          <w:i/>
          <w:sz w:val="18"/>
        </w:rPr>
        <w:t>This toolkit is a professional management resource, not legal, regulatory or audit advice. Calibrate scoring scales, appetite, limits and governance to your organisation, sector and applicable regulation. Sector-specific requirements (e.g. prudential, data-protection, HSE) must be confirmed against current local regulation.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10243F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1B4D89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B4D89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