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Treasury Controls Toolkit™</w:t>
      </w:r>
    </w:p>
    <w:p>
      <w:pPr>
        <w:jc w:val="center"/>
      </w:pPr>
      <w:r>
        <w:rPr>
          <w:color w:val="C97B2C"/>
          <w:sz w:val="26"/>
        </w:rPr>
        <w:t>Control cash, banking and payments</w:t>
      </w:r>
    </w:p>
    <w:p/>
    <w:p/>
    <w:p>
      <w:pPr>
        <w:jc w:val="center"/>
      </w:pPr>
      <w:r>
        <w:rPr>
          <w:color w:val="555555"/>
          <w:sz w:val="20"/>
        </w:rPr>
        <w:t>Treasury / Finance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controls cash, banking, payments and treasury operations — protecting funds and ensuring authorised, accurate movement of money.</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Control bank mandates and signatories</w:t>
      </w:r>
    </w:p>
    <w:p>
      <w:pPr>
        <w:pStyle w:val="ListBullet"/>
      </w:pPr>
      <w:r>
        <w:rPr>
          <w:sz w:val="19"/>
        </w:rPr>
        <w:t>Authorise and verify payments</w:t>
      </w:r>
    </w:p>
    <w:p>
      <w:pPr>
        <w:pStyle w:val="ListBullet"/>
      </w:pPr>
      <w:r>
        <w:rPr>
          <w:sz w:val="19"/>
        </w:rPr>
        <w:t>Maintain cash visibility</w:t>
      </w:r>
    </w:p>
    <w:p>
      <w:pPr>
        <w:pStyle w:val="ListBullet"/>
      </w:pPr>
      <w:r>
        <w:rPr>
          <w:sz w:val="19"/>
        </w:rPr>
        <w:t>Manage FX exposure per policy</w:t>
      </w:r>
    </w:p>
    <w:p>
      <w:pPr>
        <w:pStyle w:val="ListBullet"/>
      </w:pPr>
      <w:r>
        <w:rPr>
          <w:sz w:val="19"/>
        </w:rPr>
        <w:t>Reconcile bank accounts</w:t>
      </w:r>
    </w:p>
    <w:p>
      <w:pPr>
        <w:pStyle w:val="Heading1"/>
      </w:pPr>
      <w:r>
        <w:t>3. Governance</w:t>
      </w:r>
    </w:p>
    <w:p>
      <w:r>
        <w:rPr>
          <w:b w:val="0"/>
          <w:i w:val="0"/>
          <w:sz w:val="20"/>
        </w:rPr>
        <w:t>Treasury controls are owned by treasury and finance, monitored by the second line and assured by internal audit:</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controls cash and banking, payments, funding and FX, bank mandates and treasury segregation of duties — protecting and controlling the movement of funds.</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Treasurer</w:t>
            </w:r>
          </w:p>
        </w:tc>
        <w:tc>
          <w:tcPr>
            <w:tcW w:type="dxa" w:w="8064"/>
          </w:tcPr>
          <w:p>
            <w:r/>
            <w:r>
              <w:rPr>
                <w:rFonts w:ascii="Arial" w:hAnsi="Arial"/>
                <w:b w:val="0"/>
                <w:sz w:val="17"/>
              </w:rPr>
              <w:t>Owns treasury controls and policy</w:t>
            </w:r>
          </w:p>
        </w:tc>
      </w:tr>
      <w:tr>
        <w:tc>
          <w:tcPr>
            <w:tcW w:type="dxa" w:w="3456"/>
            <w:shd w:val="clear" w:fill="F4F7FB"/>
          </w:tcPr>
          <w:p>
            <w:r/>
            <w:r>
              <w:rPr>
                <w:rFonts w:ascii="Arial" w:hAnsi="Arial"/>
                <w:b w:val="0"/>
                <w:sz w:val="17"/>
              </w:rPr>
              <w:t>Treasury team</w:t>
            </w:r>
          </w:p>
        </w:tc>
        <w:tc>
          <w:tcPr>
            <w:tcW w:type="dxa" w:w="8064"/>
            <w:shd w:val="clear" w:fill="F4F7FB"/>
          </w:tcPr>
          <w:p>
            <w:r/>
            <w:r>
              <w:rPr>
                <w:rFonts w:ascii="Arial" w:hAnsi="Arial"/>
                <w:b w:val="0"/>
                <w:sz w:val="17"/>
              </w:rPr>
              <w:t>Operates payment and cash controls</w:t>
            </w:r>
          </w:p>
        </w:tc>
      </w:tr>
      <w:tr>
        <w:tc>
          <w:tcPr>
            <w:tcW w:type="dxa" w:w="3456"/>
          </w:tcPr>
          <w:p>
            <w:r/>
            <w:r>
              <w:rPr>
                <w:rFonts w:ascii="Arial" w:hAnsi="Arial"/>
                <w:b w:val="0"/>
                <w:sz w:val="17"/>
              </w:rPr>
              <w:t>Finance</w:t>
            </w:r>
          </w:p>
        </w:tc>
        <w:tc>
          <w:tcPr>
            <w:tcW w:type="dxa" w:w="8064"/>
          </w:tcPr>
          <w:p>
            <w:r/>
            <w:r>
              <w:rPr>
                <w:rFonts w:ascii="Arial" w:hAnsi="Arial"/>
                <w:b w:val="0"/>
                <w:sz w:val="17"/>
              </w:rPr>
              <w:t>Performs bank reconciliations</w:t>
            </w:r>
          </w:p>
        </w:tc>
      </w:tr>
      <w:tr>
        <w:tc>
          <w:tcPr>
            <w:tcW w:type="dxa" w:w="3456"/>
            <w:shd w:val="clear" w:fill="F4F7FB"/>
          </w:tcPr>
          <w:p>
            <w:r/>
            <w:r>
              <w:rPr>
                <w:rFonts w:ascii="Arial" w:hAnsi="Arial"/>
                <w:b w:val="0"/>
                <w:sz w:val="17"/>
              </w:rPr>
              <w:t>Internal audit</w:t>
            </w:r>
          </w:p>
        </w:tc>
        <w:tc>
          <w:tcPr>
            <w:tcW w:type="dxa" w:w="8064"/>
            <w:shd w:val="clear" w:fill="F4F7FB"/>
          </w:tcPr>
          <w:p>
            <w:r/>
            <w:r>
              <w:rPr>
                <w:rFonts w:ascii="Arial" w:hAnsi="Arial"/>
                <w:b w:val="0"/>
                <w:sz w:val="17"/>
              </w:rPr>
              <w:t>Assures treasury controls</w:t>
            </w:r>
          </w:p>
        </w:tc>
      </w:tr>
      <w:tr>
        <w:tc>
          <w:tcPr>
            <w:tcW w:type="dxa" w:w="3456"/>
          </w:tcPr>
          <w:p>
            <w:r/>
            <w:r>
              <w:rPr>
                <w:rFonts w:ascii="Arial" w:hAnsi="Arial"/>
                <w:b w:val="0"/>
                <w:sz w:val="17"/>
              </w:rPr>
              <w:t>Audit committee / Board</w:t>
            </w:r>
          </w:p>
        </w:tc>
        <w:tc>
          <w:tcPr>
            <w:tcW w:type="dxa" w:w="8064"/>
          </w:tcPr>
          <w:p>
            <w:r/>
            <w:r>
              <w:rPr>
                <w:rFonts w:ascii="Arial" w:hAnsi="Arial"/>
                <w:b w:val="0"/>
                <w:sz w:val="17"/>
              </w:rPr>
              <w:t>Oversees treasury risk</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TR-01</w:t>
            </w:r>
          </w:p>
        </w:tc>
        <w:tc>
          <w:tcPr>
            <w:tcW w:type="dxa" w:w="2880"/>
          </w:tcPr>
          <w:p>
            <w:r/>
            <w:r>
              <w:rPr>
                <w:rFonts w:ascii="Arial" w:hAnsi="Arial"/>
                <w:b w:val="0"/>
                <w:sz w:val="16"/>
              </w:rPr>
              <w:t>Unauthorised signatories</w:t>
            </w:r>
          </w:p>
        </w:tc>
        <w:tc>
          <w:tcPr>
            <w:tcW w:type="dxa" w:w="3744"/>
          </w:tcPr>
          <w:p>
            <w:r/>
            <w:r>
              <w:rPr>
                <w:rFonts w:ascii="Arial" w:hAnsi="Arial"/>
                <w:b w:val="0"/>
                <w:sz w:val="16"/>
              </w:rPr>
              <w:t>Bank mandate register reviewed</w:t>
            </w:r>
          </w:p>
        </w:tc>
        <w:tc>
          <w:tcPr>
            <w:tcW w:type="dxa" w:w="1728"/>
          </w:tcPr>
          <w:p>
            <w:r/>
            <w:r>
              <w:rPr>
                <w:rFonts w:ascii="Arial" w:hAnsi="Arial"/>
                <w:b w:val="0"/>
                <w:sz w:val="16"/>
              </w:rPr>
              <w:t>Treasury</w:t>
            </w:r>
          </w:p>
        </w:tc>
        <w:tc>
          <w:tcPr>
            <w:tcW w:type="dxa" w:w="1296"/>
          </w:tcPr>
          <w:p>
            <w:r/>
            <w:r>
              <w:rPr>
                <w:rFonts w:ascii="Arial" w:hAnsi="Arial"/>
                <w:b w:val="0"/>
                <w:sz w:val="16"/>
              </w:rPr>
              <w:t>Quarterly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TR-02</w:t>
            </w:r>
          </w:p>
        </w:tc>
        <w:tc>
          <w:tcPr>
            <w:tcW w:type="dxa" w:w="2880"/>
            <w:shd w:val="clear" w:fill="F4F7FB"/>
          </w:tcPr>
          <w:p>
            <w:r/>
            <w:r>
              <w:rPr>
                <w:rFonts w:ascii="Arial" w:hAnsi="Arial"/>
                <w:b w:val="0"/>
                <w:sz w:val="16"/>
              </w:rPr>
              <w:t>Fraudulent payments</w:t>
            </w:r>
          </w:p>
        </w:tc>
        <w:tc>
          <w:tcPr>
            <w:tcW w:type="dxa" w:w="3744"/>
            <w:shd w:val="clear" w:fill="F4F7FB"/>
          </w:tcPr>
          <w:p>
            <w:r/>
            <w:r>
              <w:rPr>
                <w:rFonts w:ascii="Arial" w:hAnsi="Arial"/>
                <w:b w:val="0"/>
                <w:sz w:val="16"/>
              </w:rPr>
              <w:t>Dual authorisation; payment limits</w:t>
            </w:r>
          </w:p>
        </w:tc>
        <w:tc>
          <w:tcPr>
            <w:tcW w:type="dxa" w:w="1728"/>
            <w:shd w:val="clear" w:fill="F4F7FB"/>
          </w:tcPr>
          <w:p>
            <w:r/>
            <w:r>
              <w:rPr>
                <w:rFonts w:ascii="Arial" w:hAnsi="Arial"/>
                <w:b w:val="0"/>
                <w:sz w:val="16"/>
              </w:rPr>
              <w:t>Treasury</w:t>
            </w:r>
          </w:p>
        </w:tc>
        <w:tc>
          <w:tcPr>
            <w:tcW w:type="dxa" w:w="1296"/>
            <w:shd w:val="clear" w:fill="F4F7FB"/>
          </w:tcPr>
          <w:p>
            <w:r/>
            <w:r>
              <w:rPr>
                <w:rFonts w:ascii="Arial" w:hAnsi="Arial"/>
                <w:b w:val="0"/>
                <w:sz w:val="16"/>
              </w:rPr>
              <w:t>Daily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TR-03</w:t>
            </w:r>
          </w:p>
        </w:tc>
        <w:tc>
          <w:tcPr>
            <w:tcW w:type="dxa" w:w="2880"/>
          </w:tcPr>
          <w:p>
            <w:r/>
            <w:r>
              <w:rPr>
                <w:rFonts w:ascii="Arial" w:hAnsi="Arial"/>
                <w:b w:val="0"/>
                <w:sz w:val="16"/>
              </w:rPr>
              <w:t>Liquidity not visible</w:t>
            </w:r>
          </w:p>
        </w:tc>
        <w:tc>
          <w:tcPr>
            <w:tcW w:type="dxa" w:w="3744"/>
          </w:tcPr>
          <w:p>
            <w:r/>
            <w:r>
              <w:rPr>
                <w:rFonts w:ascii="Arial" w:hAnsi="Arial"/>
                <w:b w:val="0"/>
                <w:sz w:val="16"/>
              </w:rPr>
              <w:t>Daily cash position &amp; forecast</w:t>
            </w:r>
          </w:p>
        </w:tc>
        <w:tc>
          <w:tcPr>
            <w:tcW w:type="dxa" w:w="1728"/>
          </w:tcPr>
          <w:p>
            <w:r/>
            <w:r>
              <w:rPr>
                <w:rFonts w:ascii="Arial" w:hAnsi="Arial"/>
                <w:b w:val="0"/>
                <w:sz w:val="16"/>
              </w:rPr>
              <w:t>Treasury</w:t>
            </w:r>
          </w:p>
        </w:tc>
        <w:tc>
          <w:tcPr>
            <w:tcW w:type="dxa" w:w="1296"/>
          </w:tcPr>
          <w:p>
            <w:r/>
            <w:r>
              <w:rPr>
                <w:rFonts w:ascii="Arial" w:hAnsi="Arial"/>
                <w:b w:val="0"/>
                <w:sz w:val="16"/>
              </w:rPr>
              <w:t>Daily</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TR-05</w:t>
            </w:r>
          </w:p>
        </w:tc>
        <w:tc>
          <w:tcPr>
            <w:tcW w:type="dxa" w:w="2880"/>
            <w:shd w:val="clear" w:fill="F4F7FB"/>
          </w:tcPr>
          <w:p>
            <w:r/>
            <w:r>
              <w:rPr>
                <w:rFonts w:ascii="Arial" w:hAnsi="Arial"/>
                <w:b w:val="0"/>
                <w:sz w:val="16"/>
              </w:rPr>
              <w:t>Undetected discrepancies</w:t>
            </w:r>
          </w:p>
        </w:tc>
        <w:tc>
          <w:tcPr>
            <w:tcW w:type="dxa" w:w="3744"/>
            <w:shd w:val="clear" w:fill="F4F7FB"/>
          </w:tcPr>
          <w:p>
            <w:r/>
            <w:r>
              <w:rPr>
                <w:rFonts w:ascii="Arial" w:hAnsi="Arial"/>
                <w:b w:val="0"/>
                <w:sz w:val="16"/>
              </w:rPr>
              <w:t>Bank reconciliations reviewed</w:t>
            </w:r>
          </w:p>
        </w:tc>
        <w:tc>
          <w:tcPr>
            <w:tcW w:type="dxa" w:w="1728"/>
            <w:shd w:val="clear" w:fill="F4F7FB"/>
          </w:tcPr>
          <w:p>
            <w:r/>
            <w:r>
              <w:rPr>
                <w:rFonts w:ascii="Arial" w:hAnsi="Arial"/>
                <w:b w:val="0"/>
                <w:sz w:val="16"/>
              </w:rPr>
              <w:t>Finance</w:t>
            </w:r>
          </w:p>
        </w:tc>
        <w:tc>
          <w:tcPr>
            <w:tcW w:type="dxa" w:w="1296"/>
            <w:shd w:val="clear" w:fill="F4F7FB"/>
          </w:tcPr>
          <w:p>
            <w:r/>
            <w:r>
              <w:rPr>
                <w:rFonts w:ascii="Arial" w:hAnsi="Arial"/>
                <w:b w:val="0"/>
                <w:sz w:val="16"/>
              </w:rPr>
              <w:t>Monthly</w:t>
            </w:r>
          </w:p>
        </w:tc>
        <w:tc>
          <w:tcPr>
            <w:tcW w:type="dxa" w:w="1296"/>
            <w:shd w:val="clear" w:fill="F4F7FB"/>
          </w:tcPr>
          <w:p>
            <w:r/>
            <w:r>
              <w:rPr>
                <w:rFonts w:ascii="Arial" w:hAnsi="Arial"/>
                <w:b w:val="0"/>
                <w:sz w:val="16"/>
              </w:rPr>
              <w:t>Detective</w:t>
            </w:r>
          </w:p>
        </w:tc>
      </w:tr>
    </w:tbl>
    <w:p>
      <w:pPr>
        <w:pStyle w:val="Heading1"/>
      </w:pPr>
      <w:r>
        <w:t>7. Sample Controls</w:t>
      </w:r>
    </w:p>
    <w:p>
      <w:pPr>
        <w:pStyle w:val="ListBullet"/>
      </w:pPr>
      <w:r>
        <w:rPr>
          <w:sz w:val="19"/>
        </w:rPr>
        <w:t>Bank mandate register with periodic review</w:t>
      </w:r>
    </w:p>
    <w:p>
      <w:pPr>
        <w:pStyle w:val="ListBullet"/>
      </w:pPr>
      <w:r>
        <w:rPr>
          <w:sz w:val="19"/>
        </w:rPr>
        <w:t>Dual authorisation and payment limits</w:t>
      </w:r>
    </w:p>
    <w:p>
      <w:pPr>
        <w:pStyle w:val="ListBullet"/>
      </w:pPr>
      <w:r>
        <w:rPr>
          <w:sz w:val="19"/>
        </w:rPr>
        <w:t>Bank-detail change verification controls</w:t>
      </w:r>
    </w:p>
    <w:p>
      <w:pPr>
        <w:pStyle w:val="ListBullet"/>
      </w:pPr>
      <w:r>
        <w:rPr>
          <w:sz w:val="19"/>
        </w:rPr>
        <w:t>Daily cash position and forecast</w:t>
      </w:r>
    </w:p>
    <w:p>
      <w:pPr>
        <w:pStyle w:val="ListBullet"/>
      </w:pPr>
      <w:r>
        <w:rPr>
          <w:sz w:val="19"/>
        </w:rPr>
        <w:t>FX exposure monitoring and hedging per policy</w:t>
      </w:r>
    </w:p>
    <w:p>
      <w:pPr>
        <w:pStyle w:val="ListBullet"/>
      </w:pPr>
      <w:r>
        <w:rPr>
          <w:sz w:val="19"/>
        </w:rPr>
        <w:t>Monthly bank reconciliations with review</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Payment controls</w:t>
            </w:r>
          </w:p>
        </w:tc>
        <w:tc>
          <w:tcPr>
            <w:tcW w:type="dxa" w:w="4320"/>
          </w:tcPr>
          <w:p>
            <w:r/>
            <w:r>
              <w:rPr>
                <w:rFonts w:ascii="Arial" w:hAnsi="Arial"/>
                <w:b w:val="0"/>
                <w:sz w:val="16"/>
              </w:rPr>
              <w:t>Re-perform authorisation checks on a sample</w:t>
            </w:r>
          </w:p>
        </w:tc>
        <w:tc>
          <w:tcPr>
            <w:tcW w:type="dxa" w:w="2160"/>
          </w:tcPr>
          <w:p>
            <w:r/>
            <w:r>
              <w:rPr>
                <w:rFonts w:ascii="Arial" w:hAnsi="Arial"/>
                <w:b w:val="0"/>
                <w:sz w:val="16"/>
              </w:rPr>
              <w:t>Sample</w:t>
            </w:r>
          </w:p>
        </w:tc>
        <w:tc>
          <w:tcPr>
            <w:tcW w:type="dxa" w:w="1440"/>
          </w:tcPr>
          <w:p>
            <w:r/>
            <w:r>
              <w:rPr>
                <w:rFonts w:ascii="Arial" w:hAnsi="Arial"/>
                <w:b w:val="0"/>
                <w:sz w:val="16"/>
              </w:rPr>
              <w:t>Monthly</w:t>
            </w:r>
          </w:p>
        </w:tc>
      </w:tr>
      <w:tr>
        <w:tc>
          <w:tcPr>
            <w:tcW w:type="dxa" w:w="2880"/>
            <w:shd w:val="clear" w:fill="F4F7FB"/>
          </w:tcPr>
          <w:p>
            <w:r/>
            <w:r>
              <w:rPr>
                <w:rFonts w:ascii="Arial" w:hAnsi="Arial"/>
                <w:b w:val="0"/>
                <w:sz w:val="16"/>
              </w:rPr>
              <w:t>Bank mandates</w:t>
            </w:r>
          </w:p>
        </w:tc>
        <w:tc>
          <w:tcPr>
            <w:tcW w:type="dxa" w:w="4320"/>
            <w:shd w:val="clear" w:fill="F4F7FB"/>
          </w:tcPr>
          <w:p>
            <w:r/>
            <w:r>
              <w:rPr>
                <w:rFonts w:ascii="Arial" w:hAnsi="Arial"/>
                <w:b w:val="0"/>
                <w:sz w:val="16"/>
              </w:rPr>
              <w:t>Review mandate register vs authorised signatories</w:t>
            </w:r>
          </w:p>
        </w:tc>
        <w:tc>
          <w:tcPr>
            <w:tcW w:type="dxa" w:w="2160"/>
            <w:shd w:val="clear" w:fill="F4F7FB"/>
          </w:tcPr>
          <w:p>
            <w:r/>
            <w:r>
              <w:rPr>
                <w:rFonts w:ascii="Arial" w:hAnsi="Arial"/>
                <w:b w:val="0"/>
                <w:sz w:val="16"/>
              </w:rPr>
              <w:t>Full population</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Reconciliations</w:t>
            </w:r>
          </w:p>
        </w:tc>
        <w:tc>
          <w:tcPr>
            <w:tcW w:type="dxa" w:w="4320"/>
          </w:tcPr>
          <w:p>
            <w:r/>
            <w:r>
              <w:rPr>
                <w:rFonts w:ascii="Arial" w:hAnsi="Arial"/>
                <w:b w:val="0"/>
                <w:sz w:val="16"/>
              </w:rPr>
              <w:t>Inspect bank reconciliations and review</w:t>
            </w:r>
          </w:p>
        </w:tc>
        <w:tc>
          <w:tcPr>
            <w:tcW w:type="dxa" w:w="2160"/>
          </w:tcPr>
          <w:p>
            <w:r/>
            <w:r>
              <w:rPr>
                <w:rFonts w:ascii="Arial" w:hAnsi="Arial"/>
                <w:b w:val="0"/>
                <w:sz w:val="16"/>
              </w:rPr>
              <w:t>Sample</w:t>
            </w:r>
          </w:p>
        </w:tc>
        <w:tc>
          <w:tcPr>
            <w:tcW w:type="dxa" w:w="1440"/>
          </w:tcPr>
          <w:p>
            <w:r/>
            <w:r>
              <w:rPr>
                <w:rFonts w:ascii="Arial" w:hAnsi="Arial"/>
                <w:b w:val="0"/>
                <w:sz w:val="16"/>
              </w:rPr>
              <w:t>Monthly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Document treasury processes and mandates</w:t>
            </w:r>
          </w:p>
        </w:tc>
        <w:tc>
          <w:tcPr>
            <w:tcW w:type="dxa" w:w="4320"/>
          </w:tcPr>
          <w:p>
            <w:r/>
            <w:r>
              <w:rPr>
                <w:rFonts w:ascii="Arial" w:hAnsi="Arial"/>
                <w:b w:val="0"/>
                <w:sz w:val="17"/>
              </w:rPr>
              <w:t>Treasury control map</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payment and mandate controls</w:t>
            </w:r>
          </w:p>
        </w:tc>
        <w:tc>
          <w:tcPr>
            <w:tcW w:type="dxa" w:w="4320"/>
            <w:shd w:val="clear" w:fill="F4F7FB"/>
          </w:tcPr>
          <w:p>
            <w:r/>
            <w:r>
              <w:rPr>
                <w:rFonts w:ascii="Arial" w:hAnsi="Arial"/>
                <w:b w:val="0"/>
                <w:sz w:val="17"/>
              </w:rPr>
              <w:t>Operating treasury controls</w:t>
            </w:r>
          </w:p>
        </w:tc>
      </w:tr>
      <w:tr>
        <w:tc>
          <w:tcPr>
            <w:tcW w:type="dxa" w:w="1872"/>
          </w:tcPr>
          <w:p>
            <w:r/>
            <w:r>
              <w:rPr>
                <w:rFonts w:ascii="Arial" w:hAnsi="Arial"/>
                <w:b w:val="0"/>
                <w:sz w:val="17"/>
              </w:rPr>
              <w:t>Phase 3</w:t>
            </w:r>
          </w:p>
        </w:tc>
        <w:tc>
          <w:tcPr>
            <w:tcW w:type="dxa" w:w="5328"/>
          </w:tcPr>
          <w:p>
            <w:r/>
            <w:r>
              <w:rPr>
                <w:rFonts w:ascii="Arial" w:hAnsi="Arial"/>
                <w:b w:val="0"/>
                <w:sz w:val="17"/>
              </w:rPr>
              <w:t>Add FX and reconciliation controls</w:t>
            </w:r>
          </w:p>
        </w:tc>
        <w:tc>
          <w:tcPr>
            <w:tcW w:type="dxa" w:w="4320"/>
          </w:tcPr>
          <w:p>
            <w:r/>
            <w:r>
              <w:rPr>
                <w:rFonts w:ascii="Arial" w:hAnsi="Arial"/>
                <w:b w:val="0"/>
                <w:sz w:val="17"/>
              </w:rPr>
              <w:t>Controlled treasury</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Monitor and test</w:t>
            </w:r>
          </w:p>
        </w:tc>
        <w:tc>
          <w:tcPr>
            <w:tcW w:type="dxa" w:w="4320"/>
            <w:shd w:val="clear" w:fill="F4F7FB"/>
          </w:tcPr>
          <w:p>
            <w:r/>
            <w:r>
              <w:rPr>
                <w:rFonts w:ascii="Arial" w:hAnsi="Arial"/>
                <w:b w:val="0"/>
                <w:sz w:val="17"/>
              </w:rPr>
              <w:t>Assured treasury controls</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Treasury Control Matrix (XLSX)</w:t>
      </w:r>
    </w:p>
    <w:p>
      <w:pPr>
        <w:pStyle w:val="ListBullet"/>
      </w:pPr>
      <w:r>
        <w:rPr>
          <w:sz w:val="19"/>
        </w:rPr>
        <w:t>Payment Controls SOP</w:t>
      </w:r>
    </w:p>
    <w:p>
      <w:pPr>
        <w:pStyle w:val="ListBullet"/>
      </w:pPr>
      <w:r>
        <w:rPr>
          <w:sz w:val="19"/>
        </w:rPr>
        <w:t>Bank Mandate Control Register</w:t>
      </w:r>
    </w:p>
    <w:p>
      <w:pPr>
        <w:pStyle w:val="ListBullet"/>
      </w:pPr>
      <w:r>
        <w:rPr>
          <w:sz w:val="19"/>
        </w:rPr>
        <w:t>Control Testing Workpaper Template</w:t>
      </w:r>
    </w:p>
    <w:p>
      <w:pPr>
        <w:pStyle w:val="ListBullet"/>
      </w:pPr>
      <w:r>
        <w:rPr>
          <w:sz w:val="19"/>
        </w:rPr>
        <w:t>Deficiency &amp; Remediation Log (XLSX)</w:t>
      </w:r>
    </w:p>
    <w:p>
      <w:pPr>
        <w:pStyle w:val="Heading1"/>
      </w:pPr>
      <w:r>
        <w:t>11. Checklists</w:t>
      </w:r>
    </w:p>
    <w:p>
      <w:pPr>
        <w:ind w:left="288"/>
      </w:pPr>
      <w:r>
        <w:rPr>
          <w:sz w:val="19"/>
        </w:rPr>
        <w:t>☐  Bank mandates documented and reviewed</w:t>
      </w:r>
    </w:p>
    <w:p>
      <w:pPr>
        <w:ind w:left="288"/>
      </w:pPr>
      <w:r>
        <w:rPr>
          <w:sz w:val="19"/>
        </w:rPr>
        <w:t>☐  Payment authorisation matrix enforced</w:t>
      </w:r>
    </w:p>
    <w:p>
      <w:pPr>
        <w:ind w:left="288"/>
      </w:pPr>
      <w:r>
        <w:rPr>
          <w:sz w:val="19"/>
        </w:rPr>
        <w:t>☐  Payment limits configured</w:t>
      </w:r>
    </w:p>
    <w:p>
      <w:pPr>
        <w:ind w:left="288"/>
      </w:pPr>
      <w:r>
        <w:rPr>
          <w:sz w:val="19"/>
        </w:rPr>
        <w:t>☐  Bank-detail change controls operating</w:t>
      </w:r>
    </w:p>
    <w:p>
      <w:pPr>
        <w:ind w:left="288"/>
      </w:pPr>
      <w:r>
        <w:rPr>
          <w:sz w:val="19"/>
        </w:rPr>
        <w:t>☐  Daily cash position monitored</w:t>
      </w:r>
    </w:p>
    <w:p>
      <w:pPr>
        <w:ind w:left="288"/>
      </w:pPr>
      <w:r>
        <w:rPr>
          <w:sz w:val="19"/>
        </w:rPr>
        <w:t>☐  FX policy and monitoring in place</w:t>
      </w:r>
    </w:p>
    <w:p>
      <w:pPr>
        <w:ind w:left="288"/>
      </w:pPr>
      <w:r>
        <w:rPr>
          <w:sz w:val="19"/>
        </w:rPr>
        <w:t>☐  Bank reconciliations performed and reviewed</w:t>
      </w:r>
    </w:p>
    <w:p>
      <w:pPr>
        <w:ind w:left="288"/>
      </w:pPr>
      <w:r>
        <w:rPr>
          <w:sz w:val="19"/>
        </w:rPr>
        <w:t>☐  Treasury SoD enforced</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Payment authorisation</w:t>
            </w:r>
          </w:p>
        </w:tc>
        <w:tc>
          <w:tcPr>
            <w:tcW w:type="dxa" w:w="1440"/>
          </w:tcPr>
          <w:p>
            <w:r/>
            <w:r>
              <w:rPr>
                <w:rFonts w:ascii="Arial" w:hAnsi="Arial"/>
                <w:b w:val="0"/>
                <w:sz w:val="16"/>
              </w:rPr>
              <w:t>Effective</w:t>
            </w:r>
          </w:p>
        </w:tc>
        <w:tc>
          <w:tcPr>
            <w:tcW w:type="dxa" w:w="1440"/>
          </w:tcPr>
          <w:p>
            <w:r/>
            <w:r>
              <w:rPr>
                <w:rFonts w:ascii="Arial" w:hAnsi="Arial"/>
                <w:b w:val="0"/>
                <w:sz w:val="16"/>
              </w:rPr>
              <w:t>Effective</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Bank recon timeliness</w:t>
            </w:r>
          </w:p>
        </w:tc>
        <w:tc>
          <w:tcPr>
            <w:tcW w:type="dxa" w:w="1440"/>
            <w:shd w:val="clear" w:fill="F4F7FB"/>
          </w:tcPr>
          <w:p>
            <w:r/>
            <w:r>
              <w:rPr>
                <w:rFonts w:ascii="Arial" w:hAnsi="Arial"/>
                <w:b w:val="0"/>
                <w:sz w:val="16"/>
              </w:rPr>
              <w:t>96%</w:t>
            </w:r>
          </w:p>
        </w:tc>
        <w:tc>
          <w:tcPr>
            <w:tcW w:type="dxa" w:w="1440"/>
            <w:shd w:val="clear" w:fill="F4F7FB"/>
          </w:tcPr>
          <w:p>
            <w:r/>
            <w:r>
              <w:rPr>
                <w:rFonts w:ascii="Arial" w:hAnsi="Arial"/>
                <w:b w:val="0"/>
                <w:sz w:val="16"/>
              </w:rPr>
              <w:t>≥98%</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Tighten</w:t>
            </w:r>
          </w:p>
        </w:tc>
      </w:tr>
      <w:tr>
        <w:tc>
          <w:tcPr>
            <w:tcW w:type="dxa" w:w="3168"/>
          </w:tcPr>
          <w:p>
            <w:r/>
            <w:r>
              <w:rPr>
                <w:rFonts w:ascii="Arial" w:hAnsi="Arial"/>
                <w:b w:val="0"/>
                <w:sz w:val="16"/>
              </w:rPr>
              <w:t>FX hedged per policy</w:t>
            </w:r>
          </w:p>
        </w:tc>
        <w:tc>
          <w:tcPr>
            <w:tcW w:type="dxa" w:w="1440"/>
          </w:tcPr>
          <w:p>
            <w:r/>
            <w:r>
              <w:rPr>
                <w:rFonts w:ascii="Arial" w:hAnsi="Arial"/>
                <w:b w:val="0"/>
                <w:sz w:val="16"/>
              </w:rPr>
              <w:t>70%</w:t>
            </w:r>
          </w:p>
        </w:tc>
        <w:tc>
          <w:tcPr>
            <w:tcW w:type="dxa" w:w="1440"/>
          </w:tcPr>
          <w:p>
            <w:r/>
            <w:r>
              <w:rPr>
                <w:rFonts w:ascii="Arial" w:hAnsi="Arial"/>
                <w:b w:val="0"/>
                <w:sz w:val="16"/>
              </w:rPr>
              <w:t>≥75%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Increase hedging</w:t>
            </w:r>
          </w:p>
        </w:tc>
      </w:tr>
      <w:tr>
        <w:tc>
          <w:tcPr>
            <w:tcW w:type="dxa" w:w="3168"/>
            <w:shd w:val="clear" w:fill="F4F7FB"/>
          </w:tcPr>
          <w:p>
            <w:r/>
            <w:r>
              <w:rPr>
                <w:rFonts w:ascii="Arial" w:hAnsi="Arial"/>
                <w:b w:val="0"/>
                <w:sz w:val="16"/>
              </w:rPr>
              <w:t>Mandate review</w:t>
            </w:r>
          </w:p>
        </w:tc>
        <w:tc>
          <w:tcPr>
            <w:tcW w:type="dxa" w:w="1440"/>
            <w:shd w:val="clear" w:fill="F4F7FB"/>
          </w:tcPr>
          <w:p>
            <w:r/>
            <w:r>
              <w:rPr>
                <w:rFonts w:ascii="Arial" w:hAnsi="Arial"/>
                <w:b w:val="0"/>
                <w:sz w:val="16"/>
              </w:rPr>
              <w:t>Current</w:t>
            </w:r>
          </w:p>
        </w:tc>
        <w:tc>
          <w:tcPr>
            <w:tcW w:type="dxa" w:w="1440"/>
            <w:shd w:val="clear" w:fill="F4F7FB"/>
          </w:tcPr>
          <w:p>
            <w:r/>
            <w:r>
              <w:rPr>
                <w:rFonts w:ascii="Arial" w:hAnsi="Arial"/>
                <w:b w:val="0"/>
                <w:sz w:val="16"/>
              </w:rPr>
              <w:t>Current</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Treasury controls</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Payments well controlled</w:t>
            </w:r>
          </w:p>
        </w:tc>
      </w:tr>
      <w:tr>
        <w:tc>
          <w:tcPr>
            <w:tcW w:type="dxa" w:w="2736"/>
            <w:shd w:val="clear" w:fill="F4F7FB"/>
          </w:tcPr>
          <w:p>
            <w:r/>
            <w:r>
              <w:rPr>
                <w:rFonts w:ascii="Arial" w:hAnsi="Arial"/>
                <w:b w:val="0"/>
                <w:sz w:val="16"/>
              </w:rPr>
              <w:t>Bank reconciliation</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Timeliness improving</w:t>
            </w:r>
          </w:p>
        </w:tc>
      </w:tr>
      <w:tr>
        <w:tc>
          <w:tcPr>
            <w:tcW w:type="dxa" w:w="2736"/>
          </w:tcPr>
          <w:p>
            <w:r/>
            <w:r>
              <w:rPr>
                <w:rFonts w:ascii="Arial" w:hAnsi="Arial"/>
                <w:b w:val="0"/>
                <w:sz w:val="16"/>
              </w:rPr>
              <w:t>FX</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Hedging slightly below policy</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increased FX hedging</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