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Internal Control Toolkit™</w:t>
      </w:r>
    </w:p>
    <w:p>
      <w:pPr>
        <w:jc w:val="center"/>
      </w:pPr>
      <w:r>
        <w:rPr>
          <w:color w:val="C97B2C"/>
          <w:sz w:val="26"/>
        </w:rPr>
        <w:t>Stand up a complete, COSO-aligned control system</w:t>
      </w:r>
    </w:p>
    <w:p/>
    <w:p/>
    <w:p>
      <w:pPr>
        <w:jc w:val="center"/>
      </w:pPr>
      <w:r>
        <w:rPr>
          <w:color w:val="555555"/>
          <w:sz w:val="20"/>
        </w:rPr>
        <w:t>Boards / Management / Internal Audit  ·  Flagship Edition 2026</w:t>
      </w:r>
    </w:p>
    <w:p>
      <w:pPr>
        <w:jc w:val="center"/>
      </w:pPr>
      <w:r>
        <w:rPr>
          <w:i/>
          <w:color w:val="555555"/>
          <w:sz w:val="18"/>
        </w:rPr>
        <w:t>Outliers Professionals Ltd — Internal Control Centre Resource Library</w:t>
      </w:r>
    </w:p>
    <w:p>
      <w:r>
        <w:br w:type="page"/>
      </w:r>
    </w:p>
    <w:p>
      <w:pPr>
        <w:pStyle w:val="Heading1"/>
      </w:pPr>
      <w:r>
        <w:t>1. Executive Overview</w:t>
      </w:r>
    </w:p>
    <w:p>
      <w:r>
        <w:rPr>
          <w:b w:val="0"/>
          <w:i w:val="0"/>
          <w:sz w:val="20"/>
        </w:rPr>
        <w:t>This toolkit helps you design and operate a complete system of internal control across the COSO components and the Three Lines Model — from the control environment to monitoring.</w:t>
      </w:r>
    </w:p>
    <w:p>
      <w:r>
        <w:rPr>
          <w:b w:val="0"/>
          <w:i w:val="0"/>
          <w:sz w:val="19"/>
        </w:rPr>
        <w:t>This toolkit is part of the Outliers Internal Control Centre™ and is anchored to COSO, the IIA Standards and the Three Lines Model (by name). It gives boards, management and assurance providers an applied, end-to-end kit to design, operate, test and report controls in this domain.</w:t>
      </w:r>
    </w:p>
    <w:p>
      <w:pPr>
        <w:pStyle w:val="Heading1"/>
      </w:pPr>
      <w:r>
        <w:t>2. Objectives</w:t>
      </w:r>
    </w:p>
    <w:p>
      <w:r>
        <w:rPr>
          <w:b w:val="0"/>
          <w:i w:val="0"/>
          <w:sz w:val="20"/>
        </w:rPr>
        <w:t>The control objectives this toolkit helps you achieve:</w:t>
      </w:r>
    </w:p>
    <w:p>
      <w:pPr>
        <w:pStyle w:val="ListBullet"/>
      </w:pPr>
      <w:r>
        <w:rPr>
          <w:sz w:val="19"/>
        </w:rPr>
        <w:t>Establish a strong control environment and tone at the top</w:t>
      </w:r>
    </w:p>
    <w:p>
      <w:pPr>
        <w:pStyle w:val="ListBullet"/>
      </w:pPr>
      <w:r>
        <w:rPr>
          <w:sz w:val="19"/>
        </w:rPr>
        <w:t>Identify risks and link them to controls</w:t>
      </w:r>
    </w:p>
    <w:p>
      <w:pPr>
        <w:pStyle w:val="ListBullet"/>
      </w:pPr>
      <w:r>
        <w:rPr>
          <w:sz w:val="19"/>
        </w:rPr>
        <w:t>Design and operate effective control activities</w:t>
      </w:r>
    </w:p>
    <w:p>
      <w:pPr>
        <w:pStyle w:val="ListBullet"/>
      </w:pPr>
      <w:r>
        <w:rPr>
          <w:sz w:val="19"/>
        </w:rPr>
        <w:t>Enforce segregation of duties</w:t>
      </w:r>
    </w:p>
    <w:p>
      <w:pPr>
        <w:pStyle w:val="ListBullet"/>
      </w:pPr>
      <w:r>
        <w:rPr>
          <w:sz w:val="19"/>
        </w:rPr>
        <w:t>Monitor, test and continuously improve controls</w:t>
      </w:r>
    </w:p>
    <w:p>
      <w:pPr>
        <w:pStyle w:val="Heading1"/>
      </w:pPr>
      <w:r>
        <w:t>3. Governance</w:t>
      </w:r>
    </w:p>
    <w:p>
      <w:r>
        <w:rPr>
          <w:b w:val="0"/>
          <w:i w:val="0"/>
          <w:sz w:val="20"/>
        </w:rPr>
        <w:t>Internal control operates across the Three Lines under board and audit-committee oversight:</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Line</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the control environment and assurance</w:t>
            </w:r>
          </w:p>
        </w:tc>
      </w:tr>
      <w:tr>
        <w:tc>
          <w:tcPr>
            <w:tcW w:type="dxa" w:w="3312"/>
            <w:shd w:val="clear" w:fill="F4F7FB"/>
          </w:tcPr>
          <w:p>
            <w:r/>
            <w:r>
              <w:rPr>
                <w:rFonts w:ascii="Arial" w:hAnsi="Arial"/>
                <w:b w:val="0"/>
                <w:sz w:val="16"/>
              </w:rPr>
              <w:t>First line (management)</w:t>
            </w:r>
          </w:p>
        </w:tc>
        <w:tc>
          <w:tcPr>
            <w:tcW w:type="dxa" w:w="8208"/>
            <w:shd w:val="clear" w:fill="F4F7FB"/>
          </w:tcPr>
          <w:p>
            <w:r/>
            <w:r>
              <w:rPr>
                <w:rFonts w:ascii="Arial" w:hAnsi="Arial"/>
                <w:b w:val="0"/>
                <w:sz w:val="16"/>
              </w:rPr>
              <w:t>Owns and operates controls</w:t>
            </w:r>
          </w:p>
        </w:tc>
      </w:tr>
      <w:tr>
        <w:tc>
          <w:tcPr>
            <w:tcW w:type="dxa" w:w="3312"/>
          </w:tcPr>
          <w:p>
            <w:r/>
            <w:r>
              <w:rPr>
                <w:rFonts w:ascii="Arial" w:hAnsi="Arial"/>
                <w:b w:val="0"/>
                <w:sz w:val="16"/>
              </w:rPr>
              <w:t>Second line (risk/compliance)</w:t>
            </w:r>
          </w:p>
        </w:tc>
        <w:tc>
          <w:tcPr>
            <w:tcW w:type="dxa" w:w="8208"/>
          </w:tcPr>
          <w:p>
            <w:r/>
            <w:r>
              <w:rPr>
                <w:rFonts w:ascii="Arial" w:hAnsi="Arial"/>
                <w:b w:val="0"/>
                <w:sz w:val="16"/>
              </w:rPr>
              <w:t>Sets policy, monitors and supports</w:t>
            </w:r>
          </w:p>
        </w:tc>
      </w:tr>
      <w:tr>
        <w:tc>
          <w:tcPr>
            <w:tcW w:type="dxa" w:w="3312"/>
            <w:shd w:val="clear" w:fill="F4F7FB"/>
          </w:tcPr>
          <w:p>
            <w:r/>
            <w:r>
              <w:rPr>
                <w:rFonts w:ascii="Arial" w:hAnsi="Arial"/>
                <w:b w:val="0"/>
                <w:sz w:val="16"/>
              </w:rPr>
              <w:t>Third line (internal audit)</w:t>
            </w:r>
          </w:p>
        </w:tc>
        <w:tc>
          <w:tcPr>
            <w:tcW w:type="dxa" w:w="8208"/>
            <w:shd w:val="clear" w:fill="F4F7FB"/>
          </w:tcPr>
          <w:p>
            <w:r/>
            <w:r>
              <w:rPr>
                <w:rFonts w:ascii="Arial" w:hAnsi="Arial"/>
                <w:b w:val="0"/>
                <w:sz w:val="16"/>
              </w:rPr>
              <w:t>Provides independent assurance</w:t>
            </w:r>
          </w:p>
        </w:tc>
      </w:tr>
    </w:tbl>
    <w:p>
      <w:pPr>
        <w:pStyle w:val="Heading1"/>
      </w:pPr>
      <w:r>
        <w:t>4. Control Framework</w:t>
      </w:r>
    </w:p>
    <w:p>
      <w:r>
        <w:rPr>
          <w:b w:val="0"/>
          <w:i w:val="0"/>
          <w:sz w:val="20"/>
        </w:rPr>
        <w:t>The framework follows the COSO components — control environment, risk assessment, control activities, information &amp; communication, and monitoring — operated across the Three Lines Model. Controls are documented in risk &amp; control matrices, owned by the first line, monitored by the second line and assured by the third line.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unreliable</w:t>
            </w:r>
          </w:p>
        </w:tc>
        <w:tc>
          <w:tcPr>
            <w:tcW w:type="dxa" w:w="2232"/>
          </w:tcPr>
          <w:p>
            <w:r/>
            <w:r>
              <w:rPr>
                <w:rFonts w:ascii="Arial" w:hAnsi="Arial"/>
                <w:b w:val="0"/>
                <w:sz w:val="16"/>
              </w:rPr>
              <w:t>Basic, inconsistent</w:t>
            </w:r>
          </w:p>
        </w:tc>
        <w:tc>
          <w:tcPr>
            <w:tcW w:type="dxa" w:w="2232"/>
          </w:tcPr>
          <w:p>
            <w:r/>
            <w:r>
              <w:rPr>
                <w:rFonts w:ascii="Arial" w:hAnsi="Arial"/>
                <w:b w:val="0"/>
                <w:sz w:val="16"/>
              </w:rPr>
              <w:t>Documented &amp; standardised</w:t>
            </w:r>
          </w:p>
        </w:tc>
        <w:tc>
          <w:tcPr>
            <w:tcW w:type="dxa" w:w="2232"/>
          </w:tcPr>
          <w:p>
            <w:r/>
            <w:r>
              <w:rPr>
                <w:rFonts w:ascii="Arial" w:hAnsi="Arial"/>
                <w:b w:val="0"/>
                <w:sz w:val="16"/>
              </w:rPr>
              <w:t>Monitored &amp; tested</w:t>
            </w:r>
          </w:p>
        </w:tc>
        <w:tc>
          <w:tcPr>
            <w:tcW w:type="dxa" w:w="2232"/>
          </w:tcPr>
          <w:p>
            <w:r/>
            <w:r>
              <w:rPr>
                <w:rFonts w:ascii="Arial" w:hAnsi="Arial"/>
                <w:b w:val="0"/>
                <w:sz w:val="16"/>
              </w:rPr>
              <w:t>Automated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Board / Audit Committee</w:t>
            </w:r>
          </w:p>
        </w:tc>
        <w:tc>
          <w:tcPr>
            <w:tcW w:type="dxa" w:w="8064"/>
          </w:tcPr>
          <w:p>
            <w:r/>
            <w:r>
              <w:rPr>
                <w:rFonts w:ascii="Arial" w:hAnsi="Arial"/>
                <w:b w:val="0"/>
                <w:sz w:val="17"/>
              </w:rPr>
              <w:t>Set tone; oversee the control environment and assurance</w:t>
            </w:r>
          </w:p>
        </w:tc>
      </w:tr>
      <w:tr>
        <w:tc>
          <w:tcPr>
            <w:tcW w:type="dxa" w:w="3456"/>
            <w:shd w:val="clear" w:fill="F4F7FB"/>
          </w:tcPr>
          <w:p>
            <w:r/>
            <w:r>
              <w:rPr>
                <w:rFonts w:ascii="Arial" w:hAnsi="Arial"/>
                <w:b w:val="0"/>
                <w:sz w:val="17"/>
              </w:rPr>
              <w:t>CEO / Executive</w:t>
            </w:r>
          </w:p>
        </w:tc>
        <w:tc>
          <w:tcPr>
            <w:tcW w:type="dxa" w:w="8064"/>
            <w:shd w:val="clear" w:fill="F4F7FB"/>
          </w:tcPr>
          <w:p>
            <w:r/>
            <w:r>
              <w:rPr>
                <w:rFonts w:ascii="Arial" w:hAnsi="Arial"/>
                <w:b w:val="0"/>
                <w:sz w:val="17"/>
              </w:rPr>
              <w:t>Own the control system; set accountability</w:t>
            </w:r>
          </w:p>
        </w:tc>
      </w:tr>
      <w:tr>
        <w:tc>
          <w:tcPr>
            <w:tcW w:type="dxa" w:w="3456"/>
          </w:tcPr>
          <w:p>
            <w:r/>
            <w:r>
              <w:rPr>
                <w:rFonts w:ascii="Arial" w:hAnsi="Arial"/>
                <w:b w:val="0"/>
                <w:sz w:val="17"/>
              </w:rPr>
              <w:t>Process owners (1st line)</w:t>
            </w:r>
          </w:p>
        </w:tc>
        <w:tc>
          <w:tcPr>
            <w:tcW w:type="dxa" w:w="8064"/>
          </w:tcPr>
          <w:p>
            <w:r/>
            <w:r>
              <w:rPr>
                <w:rFonts w:ascii="Arial" w:hAnsi="Arial"/>
                <w:b w:val="0"/>
                <w:sz w:val="17"/>
              </w:rPr>
              <w:t>Operate and evidence controls</w:t>
            </w:r>
          </w:p>
        </w:tc>
      </w:tr>
      <w:tr>
        <w:tc>
          <w:tcPr>
            <w:tcW w:type="dxa" w:w="3456"/>
            <w:shd w:val="clear" w:fill="F4F7FB"/>
          </w:tcPr>
          <w:p>
            <w:r/>
            <w:r>
              <w:rPr>
                <w:rFonts w:ascii="Arial" w:hAnsi="Arial"/>
                <w:b w:val="0"/>
                <w:sz w:val="17"/>
              </w:rPr>
              <w:t>Risk &amp; compliance (2nd line)</w:t>
            </w:r>
          </w:p>
        </w:tc>
        <w:tc>
          <w:tcPr>
            <w:tcW w:type="dxa" w:w="8064"/>
            <w:shd w:val="clear" w:fill="F4F7FB"/>
          </w:tcPr>
          <w:p>
            <w:r/>
            <w:r>
              <w:rPr>
                <w:rFonts w:ascii="Arial" w:hAnsi="Arial"/>
                <w:b w:val="0"/>
                <w:sz w:val="17"/>
              </w:rPr>
              <w:t>Set policy; monitor; facilitate CSA</w:t>
            </w:r>
          </w:p>
        </w:tc>
      </w:tr>
      <w:tr>
        <w:tc>
          <w:tcPr>
            <w:tcW w:type="dxa" w:w="3456"/>
          </w:tcPr>
          <w:p>
            <w:r/>
            <w:r>
              <w:rPr>
                <w:rFonts w:ascii="Arial" w:hAnsi="Arial"/>
                <w:b w:val="0"/>
                <w:sz w:val="17"/>
              </w:rPr>
              <w:t>Internal audit (3rd line)</w:t>
            </w:r>
          </w:p>
        </w:tc>
        <w:tc>
          <w:tcPr>
            <w:tcW w:type="dxa" w:w="8064"/>
          </w:tcPr>
          <w:p>
            <w:r/>
            <w:r>
              <w:rPr>
                <w:rFonts w:ascii="Arial" w:hAnsi="Arial"/>
                <w:b w:val="0"/>
                <w:sz w:val="17"/>
              </w:rPr>
              <w:t>Independently test and assure controls</w:t>
            </w:r>
          </w:p>
        </w:tc>
      </w:tr>
    </w:tbl>
    <w:p>
      <w:pPr>
        <w:pStyle w:val="Heading1"/>
      </w:pPr>
      <w:r>
        <w:t>6. Risk-Control Matrix (sample)</w:t>
      </w:r>
    </w:p>
    <w:p>
      <w:r>
        <w:rPr>
          <w:b w:val="0"/>
          <w:i/>
          <w:sz w:val="19"/>
        </w:rPr>
        <w:t>Illustrative risk-control matrix. The full working version ships as an editable XLSX with risk owner, control owner, frequency, type, design &amp; operating effectiveness, status, due date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Risk</w:t>
            </w:r>
          </w:p>
        </w:tc>
        <w:tc>
          <w:tcPr>
            <w:tcW w:type="dxa" w:w="3744"/>
            <w:shd w:val="clear" w:fill="1B4D89"/>
          </w:tcPr>
          <w:p>
            <w:r/>
            <w:r>
              <w:rPr>
                <w:rFonts w:ascii="Arial" w:hAnsi="Arial"/>
                <w:b/>
                <w:color w:val="FFFFFF"/>
                <w:sz w:val="16"/>
              </w:rPr>
              <w:t>Control Activity</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IC-01</w:t>
            </w:r>
          </w:p>
        </w:tc>
        <w:tc>
          <w:tcPr>
            <w:tcW w:type="dxa" w:w="2880"/>
          </w:tcPr>
          <w:p>
            <w:r/>
            <w:r>
              <w:rPr>
                <w:rFonts w:ascii="Arial" w:hAnsi="Arial"/>
                <w:b w:val="0"/>
                <w:sz w:val="16"/>
              </w:rPr>
              <w:t>Tone at the top unclear</w:t>
            </w:r>
          </w:p>
        </w:tc>
        <w:tc>
          <w:tcPr>
            <w:tcW w:type="dxa" w:w="3744"/>
          </w:tcPr>
          <w:p>
            <w:r/>
            <w:r>
              <w:rPr>
                <w:rFonts w:ascii="Arial" w:hAnsi="Arial"/>
                <w:b w:val="0"/>
                <w:sz w:val="16"/>
              </w:rPr>
              <w:t>Code of conduct approved &amp; attested</w:t>
            </w:r>
          </w:p>
        </w:tc>
        <w:tc>
          <w:tcPr>
            <w:tcW w:type="dxa" w:w="1728"/>
          </w:tcPr>
          <w:p>
            <w:r/>
            <w:r>
              <w:rPr>
                <w:rFonts w:ascii="Arial" w:hAnsi="Arial"/>
                <w:b w:val="0"/>
                <w:sz w:val="16"/>
              </w:rPr>
              <w:t>CEO/HR</w:t>
            </w:r>
          </w:p>
        </w:tc>
        <w:tc>
          <w:tcPr>
            <w:tcW w:type="dxa" w:w="1296"/>
          </w:tcPr>
          <w:p>
            <w:r/>
            <w:r>
              <w:rPr>
                <w:rFonts w:ascii="Arial" w:hAnsi="Arial"/>
                <w:b w:val="0"/>
                <w:sz w:val="16"/>
              </w:rPr>
              <w:t>Annually</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IC-03</w:t>
            </w:r>
          </w:p>
        </w:tc>
        <w:tc>
          <w:tcPr>
            <w:tcW w:type="dxa" w:w="2880"/>
            <w:shd w:val="clear" w:fill="F4F7FB"/>
          </w:tcPr>
          <w:p>
            <w:r/>
            <w:r>
              <w:rPr>
                <w:rFonts w:ascii="Arial" w:hAnsi="Arial"/>
                <w:b w:val="0"/>
                <w:sz w:val="16"/>
              </w:rPr>
              <w:t>Key controls undefined</w:t>
            </w:r>
          </w:p>
        </w:tc>
        <w:tc>
          <w:tcPr>
            <w:tcW w:type="dxa" w:w="3744"/>
            <w:shd w:val="clear" w:fill="F4F7FB"/>
          </w:tcPr>
          <w:p>
            <w:r/>
            <w:r>
              <w:rPr>
                <w:rFonts w:ascii="Arial" w:hAnsi="Arial"/>
                <w:b w:val="0"/>
                <w:sz w:val="16"/>
              </w:rPr>
              <w:t>Risk &amp; control matrices per process</w:t>
            </w:r>
          </w:p>
        </w:tc>
        <w:tc>
          <w:tcPr>
            <w:tcW w:type="dxa" w:w="1728"/>
            <w:shd w:val="clear" w:fill="F4F7FB"/>
          </w:tcPr>
          <w:p>
            <w:r/>
            <w:r>
              <w:rPr>
                <w:rFonts w:ascii="Arial" w:hAnsi="Arial"/>
                <w:b w:val="0"/>
                <w:sz w:val="16"/>
              </w:rPr>
              <w:t>Process Owners</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Preventive</w:t>
            </w:r>
          </w:p>
        </w:tc>
      </w:tr>
      <w:tr>
        <w:tc>
          <w:tcPr>
            <w:tcW w:type="dxa" w:w="864"/>
          </w:tcPr>
          <w:p>
            <w:r/>
            <w:r>
              <w:rPr>
                <w:rFonts w:ascii="Arial" w:hAnsi="Arial"/>
                <w:b w:val="0"/>
                <w:sz w:val="16"/>
              </w:rPr>
              <w:t>IC-05</w:t>
            </w:r>
          </w:p>
        </w:tc>
        <w:tc>
          <w:tcPr>
            <w:tcW w:type="dxa" w:w="2880"/>
          </w:tcPr>
          <w:p>
            <w:r/>
            <w:r>
              <w:rPr>
                <w:rFonts w:ascii="Arial" w:hAnsi="Arial"/>
                <w:b w:val="0"/>
                <w:sz w:val="16"/>
              </w:rPr>
              <w:t>Controls not monitored</w:t>
            </w:r>
          </w:p>
        </w:tc>
        <w:tc>
          <w:tcPr>
            <w:tcW w:type="dxa" w:w="3744"/>
          </w:tcPr>
          <w:p>
            <w:r/>
            <w:r>
              <w:rPr>
                <w:rFonts w:ascii="Arial" w:hAnsi="Arial"/>
                <w:b w:val="0"/>
                <w:sz w:val="16"/>
              </w:rPr>
              <w:t>Monitoring &amp; testing programme</w:t>
            </w:r>
          </w:p>
        </w:tc>
        <w:tc>
          <w:tcPr>
            <w:tcW w:type="dxa" w:w="1728"/>
          </w:tcPr>
          <w:p>
            <w:r/>
            <w:r>
              <w:rPr>
                <w:rFonts w:ascii="Arial" w:hAnsi="Arial"/>
                <w:b w:val="0"/>
                <w:sz w:val="16"/>
              </w:rPr>
              <w:t>Internal Audit</w:t>
            </w:r>
          </w:p>
        </w:tc>
        <w:tc>
          <w:tcPr>
            <w:tcW w:type="dxa" w:w="1296"/>
          </w:tcPr>
          <w:p>
            <w:r/>
            <w:r>
              <w:rPr>
                <w:rFonts w:ascii="Arial" w:hAnsi="Arial"/>
                <w:b w:val="0"/>
                <w:sz w:val="16"/>
              </w:rPr>
              <w:t>Quarterly</w:t>
            </w:r>
          </w:p>
        </w:tc>
        <w:tc>
          <w:tcPr>
            <w:tcW w:type="dxa" w:w="1296"/>
          </w:tcPr>
          <w:p>
            <w:r/>
            <w:r>
              <w:rPr>
                <w:rFonts w:ascii="Arial" w:hAnsi="Arial"/>
                <w:b w:val="0"/>
                <w:sz w:val="16"/>
              </w:rPr>
              <w:t>Detective</w:t>
            </w:r>
          </w:p>
        </w:tc>
      </w:tr>
      <w:tr>
        <w:tc>
          <w:tcPr>
            <w:tcW w:type="dxa" w:w="864"/>
            <w:shd w:val="clear" w:fill="F4F7FB"/>
          </w:tcPr>
          <w:p>
            <w:r/>
            <w:r>
              <w:rPr>
                <w:rFonts w:ascii="Arial" w:hAnsi="Arial"/>
                <w:b w:val="0"/>
                <w:sz w:val="16"/>
              </w:rPr>
              <w:t>IC-06</w:t>
            </w:r>
          </w:p>
        </w:tc>
        <w:tc>
          <w:tcPr>
            <w:tcW w:type="dxa" w:w="2880"/>
            <w:shd w:val="clear" w:fill="F4F7FB"/>
          </w:tcPr>
          <w:p>
            <w:r/>
            <w:r>
              <w:rPr>
                <w:rFonts w:ascii="Arial" w:hAnsi="Arial"/>
                <w:b w:val="0"/>
                <w:sz w:val="16"/>
              </w:rPr>
              <w:t>Incompatible duties combined</w:t>
            </w:r>
          </w:p>
        </w:tc>
        <w:tc>
          <w:tcPr>
            <w:tcW w:type="dxa" w:w="3744"/>
            <w:shd w:val="clear" w:fill="F4F7FB"/>
          </w:tcPr>
          <w:p>
            <w:r/>
            <w:r>
              <w:rPr>
                <w:rFonts w:ascii="Arial" w:hAnsi="Arial"/>
                <w:b w:val="0"/>
                <w:sz w:val="16"/>
              </w:rPr>
              <w:t>SoD matrix; periodic access review</w:t>
            </w:r>
          </w:p>
        </w:tc>
        <w:tc>
          <w:tcPr>
            <w:tcW w:type="dxa" w:w="1728"/>
            <w:shd w:val="clear" w:fill="F4F7FB"/>
          </w:tcPr>
          <w:p>
            <w:r/>
            <w:r>
              <w:rPr>
                <w:rFonts w:ascii="Arial" w:hAnsi="Arial"/>
                <w:b w:val="0"/>
                <w:sz w:val="16"/>
              </w:rPr>
              <w:t>IT/Process Owners</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Preventive</w:t>
            </w:r>
          </w:p>
        </w:tc>
      </w:tr>
    </w:tbl>
    <w:p>
      <w:pPr>
        <w:pStyle w:val="Heading1"/>
      </w:pPr>
      <w:r>
        <w:t>7. Sample Controls</w:t>
      </w:r>
    </w:p>
    <w:p>
      <w:pPr>
        <w:pStyle w:val="ListBullet"/>
      </w:pPr>
      <w:r>
        <w:rPr>
          <w:sz w:val="19"/>
        </w:rPr>
        <w:t>Approved, communicated code of conduct with attestation</w:t>
      </w:r>
    </w:p>
    <w:p>
      <w:pPr>
        <w:pStyle w:val="ListBullet"/>
      </w:pPr>
      <w:r>
        <w:rPr>
          <w:sz w:val="19"/>
        </w:rPr>
        <w:t>Annual risk assessment mapping risks to controls</w:t>
      </w:r>
    </w:p>
    <w:p>
      <w:pPr>
        <w:pStyle w:val="ListBullet"/>
      </w:pPr>
      <w:r>
        <w:rPr>
          <w:sz w:val="19"/>
        </w:rPr>
        <w:t>Risk &amp; control matrices maintained for key processes</w:t>
      </w:r>
    </w:p>
    <w:p>
      <w:pPr>
        <w:pStyle w:val="ListBullet"/>
      </w:pPr>
      <w:r>
        <w:rPr>
          <w:sz w:val="19"/>
        </w:rPr>
        <w:t>Segregation-of-duties matrix enforced</w:t>
      </w:r>
    </w:p>
    <w:p>
      <w:pPr>
        <w:pStyle w:val="ListBullet"/>
      </w:pPr>
      <w:r>
        <w:rPr>
          <w:sz w:val="19"/>
        </w:rPr>
        <w:t>Monitoring and testing programme operating</w:t>
      </w:r>
    </w:p>
    <w:p>
      <w:pPr>
        <w:pStyle w:val="Heading1"/>
      </w:pPr>
      <w:r>
        <w:t>8. Control Testing Approach</w:t>
      </w:r>
    </w:p>
    <w:p>
      <w:r>
        <w:rPr>
          <w:b w:val="0"/>
          <w:i w:val="0"/>
          <w:sz w:val="20"/>
        </w:rPr>
        <w:t>Test design first (is the control capable of mitigating the risk?), then operating effectiveness (did it operate over the period?). Use the assessment scale: Effective / Partially effective / Ineffective.</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Control</w:t>
            </w:r>
          </w:p>
        </w:tc>
        <w:tc>
          <w:tcPr>
            <w:tcW w:type="dxa" w:w="4320"/>
            <w:shd w:val="clear" w:fill="1B4D89"/>
          </w:tcPr>
          <w:p>
            <w:r/>
            <w:r>
              <w:rPr>
                <w:rFonts w:ascii="Arial" w:hAnsi="Arial"/>
                <w:b/>
                <w:color w:val="FFFFFF"/>
                <w:sz w:val="16"/>
              </w:rPr>
              <w:t>Test procedure</w:t>
            </w:r>
          </w:p>
        </w:tc>
        <w:tc>
          <w:tcPr>
            <w:tcW w:type="dxa" w:w="2160"/>
            <w:shd w:val="clear" w:fill="1B4D89"/>
          </w:tcPr>
          <w:p>
            <w:r/>
            <w:r>
              <w:rPr>
                <w:rFonts w:ascii="Arial" w:hAnsi="Arial"/>
                <w:b/>
                <w:color w:val="FFFFFF"/>
                <w:sz w:val="16"/>
              </w:rPr>
              <w:t>Sample 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Entity-level controls</w:t>
            </w:r>
          </w:p>
        </w:tc>
        <w:tc>
          <w:tcPr>
            <w:tcW w:type="dxa" w:w="4320"/>
          </w:tcPr>
          <w:p>
            <w:r/>
            <w:r>
              <w:rPr>
                <w:rFonts w:ascii="Arial" w:hAnsi="Arial"/>
                <w:b w:val="0"/>
                <w:sz w:val="16"/>
              </w:rPr>
              <w:t>Inspect approvals, attestations and governance records</w:t>
            </w:r>
          </w:p>
        </w:tc>
        <w:tc>
          <w:tcPr>
            <w:tcW w:type="dxa" w:w="2160"/>
          </w:tcPr>
          <w:p>
            <w:r/>
            <w:r>
              <w:rPr>
                <w:rFonts w:ascii="Arial" w:hAnsi="Arial"/>
                <w:b w:val="0"/>
                <w:sz w:val="16"/>
              </w:rPr>
              <w:t>Judgemental</w:t>
            </w:r>
          </w:p>
        </w:tc>
        <w:tc>
          <w:tcPr>
            <w:tcW w:type="dxa" w:w="1440"/>
          </w:tcPr>
          <w:p>
            <w:r/>
            <w:r>
              <w:rPr>
                <w:rFonts w:ascii="Arial" w:hAnsi="Arial"/>
                <w:b w:val="0"/>
                <w:sz w:val="16"/>
              </w:rPr>
              <w:t>Annually</w:t>
            </w:r>
          </w:p>
        </w:tc>
      </w:tr>
      <w:tr>
        <w:tc>
          <w:tcPr>
            <w:tcW w:type="dxa" w:w="2880"/>
            <w:shd w:val="clear" w:fill="F4F7FB"/>
          </w:tcPr>
          <w:p>
            <w:r/>
            <w:r>
              <w:rPr>
                <w:rFonts w:ascii="Arial" w:hAnsi="Arial"/>
                <w:b w:val="0"/>
                <w:sz w:val="16"/>
              </w:rPr>
              <w:t>Key process controls</w:t>
            </w:r>
          </w:p>
        </w:tc>
        <w:tc>
          <w:tcPr>
            <w:tcW w:type="dxa" w:w="4320"/>
            <w:shd w:val="clear" w:fill="F4F7FB"/>
          </w:tcPr>
          <w:p>
            <w:r/>
            <w:r>
              <w:rPr>
                <w:rFonts w:ascii="Arial" w:hAnsi="Arial"/>
                <w:b w:val="0"/>
                <w:sz w:val="16"/>
              </w:rPr>
              <w:t>Re-perform / inspect evidence for a sample of operations</w:t>
            </w:r>
          </w:p>
        </w:tc>
        <w:tc>
          <w:tcPr>
            <w:tcW w:type="dxa" w:w="2160"/>
            <w:shd w:val="clear" w:fill="F4F7FB"/>
          </w:tcPr>
          <w:p>
            <w:r/>
            <w:r>
              <w:rPr>
                <w:rFonts w:ascii="Arial" w:hAnsi="Arial"/>
                <w:b w:val="0"/>
                <w:sz w:val="16"/>
              </w:rPr>
              <w:t>Sample</w:t>
            </w:r>
          </w:p>
        </w:tc>
        <w:tc>
          <w:tcPr>
            <w:tcW w:type="dxa" w:w="1440"/>
            <w:shd w:val="clear" w:fill="F4F7FB"/>
          </w:tcPr>
          <w:p>
            <w:r/>
            <w:r>
              <w:rPr>
                <w:rFonts w:ascii="Arial" w:hAnsi="Arial"/>
                <w:b w:val="0"/>
                <w:sz w:val="16"/>
              </w:rPr>
              <w:t>Quarterly</w:t>
            </w:r>
          </w:p>
        </w:tc>
      </w:tr>
      <w:tr>
        <w:tc>
          <w:tcPr>
            <w:tcW w:type="dxa" w:w="2880"/>
          </w:tcPr>
          <w:p>
            <w:r/>
            <w:r>
              <w:rPr>
                <w:rFonts w:ascii="Arial" w:hAnsi="Arial"/>
                <w:b w:val="0"/>
                <w:sz w:val="16"/>
              </w:rPr>
              <w:t>SoD controls</w:t>
            </w:r>
          </w:p>
        </w:tc>
        <w:tc>
          <w:tcPr>
            <w:tcW w:type="dxa" w:w="4320"/>
          </w:tcPr>
          <w:p>
            <w:r/>
            <w:r>
              <w:rPr>
                <w:rFonts w:ascii="Arial" w:hAnsi="Arial"/>
                <w:b w:val="0"/>
                <w:sz w:val="16"/>
              </w:rPr>
              <w:t>Review access vs SoD matrix; investigate conflicts</w:t>
            </w:r>
          </w:p>
        </w:tc>
        <w:tc>
          <w:tcPr>
            <w:tcW w:type="dxa" w:w="2160"/>
          </w:tcPr>
          <w:p>
            <w:r/>
            <w:r>
              <w:rPr>
                <w:rFonts w:ascii="Arial" w:hAnsi="Arial"/>
                <w:b w:val="0"/>
                <w:sz w:val="16"/>
              </w:rPr>
              <w:t>Full population</w:t>
            </w:r>
          </w:p>
        </w:tc>
        <w:tc>
          <w:tcPr>
            <w:tcW w:type="dxa" w:w="1440"/>
          </w:tcPr>
          <w:p>
            <w:r/>
            <w:r>
              <w:rPr>
                <w:rFonts w:ascii="Arial" w:hAnsi="Arial"/>
                <w:b w:val="0"/>
                <w:sz w:val="16"/>
              </w:rPr>
              <w:t>Quarterly</w:t>
            </w:r>
          </w:p>
        </w:tc>
      </w:tr>
    </w:tbl>
    <w:p>
      <w:r>
        <w:rPr>
          <w:b w:val="0"/>
          <w:i/>
          <w:sz w:val="18"/>
        </w:rPr>
        <w:t>Record results in the Control Testing Workpaper and log gaps in the Control Deficiency Tracker (both ship as editable files).</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Diagnose maturity; document control universe</w:t>
            </w:r>
          </w:p>
        </w:tc>
        <w:tc>
          <w:tcPr>
            <w:tcW w:type="dxa" w:w="4320"/>
          </w:tcPr>
          <w:p>
            <w:r/>
            <w:r>
              <w:rPr>
                <w:rFonts w:ascii="Arial" w:hAnsi="Arial"/>
                <w:b w:val="0"/>
                <w:sz w:val="17"/>
              </w:rPr>
              <w:t>Baseline and control universe</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Build risk &amp; control matrices and SoD</w:t>
            </w:r>
          </w:p>
        </w:tc>
        <w:tc>
          <w:tcPr>
            <w:tcW w:type="dxa" w:w="4320"/>
            <w:shd w:val="clear" w:fill="F4F7FB"/>
          </w:tcPr>
          <w:p>
            <w:r/>
            <w:r>
              <w:rPr>
                <w:rFonts w:ascii="Arial" w:hAnsi="Arial"/>
                <w:b w:val="0"/>
                <w:sz w:val="17"/>
              </w:rPr>
              <w:t>Documented key controls</w:t>
            </w:r>
          </w:p>
        </w:tc>
      </w:tr>
      <w:tr>
        <w:tc>
          <w:tcPr>
            <w:tcW w:type="dxa" w:w="1872"/>
          </w:tcPr>
          <w:p>
            <w:r/>
            <w:r>
              <w:rPr>
                <w:rFonts w:ascii="Arial" w:hAnsi="Arial"/>
                <w:b w:val="0"/>
                <w:sz w:val="17"/>
              </w:rPr>
              <w:t>Phase 3</w:t>
            </w:r>
          </w:p>
        </w:tc>
        <w:tc>
          <w:tcPr>
            <w:tcW w:type="dxa" w:w="5328"/>
          </w:tcPr>
          <w:p>
            <w:r/>
            <w:r>
              <w:rPr>
                <w:rFonts w:ascii="Arial" w:hAnsi="Arial"/>
                <w:b w:val="0"/>
                <w:sz w:val="17"/>
              </w:rPr>
              <w:t>Assign ownership; embed monitoring</w:t>
            </w:r>
          </w:p>
        </w:tc>
        <w:tc>
          <w:tcPr>
            <w:tcW w:type="dxa" w:w="4320"/>
          </w:tcPr>
          <w:p>
            <w:r/>
            <w:r>
              <w:rPr>
                <w:rFonts w:ascii="Arial" w:hAnsi="Arial"/>
                <w:b w:val="0"/>
                <w:sz w:val="17"/>
              </w:rPr>
              <w:t>Operating, owned controls</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Test, remediate and re-assess</w:t>
            </w:r>
          </w:p>
        </w:tc>
        <w:tc>
          <w:tcPr>
            <w:tcW w:type="dxa" w:w="4320"/>
            <w:shd w:val="clear" w:fill="F4F7FB"/>
          </w:tcPr>
          <w:p>
            <w:r/>
            <w:r>
              <w:rPr>
                <w:rFonts w:ascii="Arial" w:hAnsi="Arial"/>
                <w:b w:val="0"/>
                <w:sz w:val="17"/>
              </w:rPr>
              <w:t>Assured, improving controls</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Risk &amp; Control Matrix (RCM) Template (XLSX)</w:t>
      </w:r>
    </w:p>
    <w:p>
      <w:pPr>
        <w:pStyle w:val="ListBullet"/>
      </w:pPr>
      <w:r>
        <w:rPr>
          <w:sz w:val="19"/>
        </w:rPr>
        <w:t>Segregation of Duties Matrix</w:t>
      </w:r>
    </w:p>
    <w:p>
      <w:pPr>
        <w:pStyle w:val="ListBullet"/>
      </w:pPr>
      <w:r>
        <w:rPr>
          <w:sz w:val="19"/>
        </w:rPr>
        <w:t>Control Testing Workpaper Template</w:t>
      </w:r>
    </w:p>
    <w:p>
      <w:pPr>
        <w:pStyle w:val="ListBullet"/>
      </w:pPr>
      <w:r>
        <w:rPr>
          <w:sz w:val="19"/>
        </w:rPr>
        <w:t>Deficiency &amp; Remediation Log (XLSX)</w:t>
      </w:r>
    </w:p>
    <w:p>
      <w:pPr>
        <w:pStyle w:val="ListBullet"/>
      </w:pPr>
      <w:r>
        <w:rPr>
          <w:sz w:val="19"/>
        </w:rPr>
        <w:t>Internal control maturity self-assessment</w:t>
      </w:r>
    </w:p>
    <w:p>
      <w:pPr>
        <w:pStyle w:val="Heading1"/>
      </w:pPr>
      <w:r>
        <w:t>11. Checklists</w:t>
      </w:r>
    </w:p>
    <w:p>
      <w:pPr>
        <w:ind w:left="288"/>
      </w:pPr>
      <w:r>
        <w:rPr>
          <w:sz w:val="19"/>
        </w:rPr>
        <w:t>☐  Control environment and tone at the top established</w:t>
      </w:r>
    </w:p>
    <w:p>
      <w:pPr>
        <w:ind w:left="288"/>
      </w:pPr>
      <w:r>
        <w:rPr>
          <w:sz w:val="19"/>
        </w:rPr>
        <w:t>☐  Risk assessment completed and mapped to controls</w:t>
      </w:r>
    </w:p>
    <w:p>
      <w:pPr>
        <w:ind w:left="288"/>
      </w:pPr>
      <w:r>
        <w:rPr>
          <w:sz w:val="19"/>
        </w:rPr>
        <w:t>☐  Risk &amp; control matrices built for key processes</w:t>
      </w:r>
    </w:p>
    <w:p>
      <w:pPr>
        <w:ind w:left="288"/>
      </w:pPr>
      <w:r>
        <w:rPr>
          <w:sz w:val="19"/>
        </w:rPr>
        <w:t>☐  Control owners assigned for every key control</w:t>
      </w:r>
    </w:p>
    <w:p>
      <w:pPr>
        <w:ind w:left="288"/>
      </w:pPr>
      <w:r>
        <w:rPr>
          <w:sz w:val="19"/>
        </w:rPr>
        <w:t>☐  Segregation of duties designed and enforced</w:t>
      </w:r>
    </w:p>
    <w:p>
      <w:pPr>
        <w:ind w:left="288"/>
      </w:pPr>
      <w:r>
        <w:rPr>
          <w:sz w:val="19"/>
        </w:rPr>
        <w:t>☐  Monitoring and testing plan in place</w:t>
      </w:r>
    </w:p>
    <w:p>
      <w:pPr>
        <w:ind w:left="288"/>
      </w:pPr>
      <w:r>
        <w:rPr>
          <w:sz w:val="19"/>
        </w:rPr>
        <w:t>☐  Deficiencies logged and remediated</w:t>
      </w:r>
    </w:p>
    <w:p>
      <w:pPr>
        <w:ind w:left="288"/>
      </w:pPr>
      <w:r>
        <w:rPr>
          <w:sz w:val="19"/>
        </w:rPr>
        <w:t>☐  Control reporting to the audit committee operating</w:t>
      </w:r>
    </w:p>
    <w:p>
      <w:pPr>
        <w:pStyle w:val="Heading1"/>
      </w:pPr>
      <w:r>
        <w:t>12. Board Reporting Examples</w:t>
      </w:r>
    </w:p>
    <w:p>
      <w:r>
        <w:rPr>
          <w:b w:val="0"/>
          <w:i w:val="0"/>
          <w:sz w:val="19"/>
        </w:rPr>
        <w:t>Standard control report: executive summary · control effectiveness (RAG) · key metrics · deficiencies &amp; remediation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Control maturity index</w:t>
            </w:r>
          </w:p>
        </w:tc>
        <w:tc>
          <w:tcPr>
            <w:tcW w:type="dxa" w:w="1440"/>
          </w:tcPr>
          <w:p>
            <w:r/>
            <w:r>
              <w:rPr>
                <w:rFonts w:ascii="Arial" w:hAnsi="Arial"/>
                <w:b w:val="0"/>
                <w:sz w:val="16"/>
              </w:rPr>
              <w:t>62</w:t>
            </w:r>
          </w:p>
        </w:tc>
        <w:tc>
          <w:tcPr>
            <w:tcW w:type="dxa" w:w="1440"/>
          </w:tcPr>
          <w:p>
            <w:r/>
            <w:r>
              <w:rPr>
                <w:rFonts w:ascii="Arial" w:hAnsi="Arial"/>
                <w:b w:val="0"/>
                <w:sz w:val="16"/>
              </w:rPr>
              <w:t>75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Advance to Managed</w:t>
            </w:r>
          </w:p>
        </w:tc>
      </w:tr>
      <w:tr>
        <w:tc>
          <w:tcPr>
            <w:tcW w:type="dxa" w:w="3168"/>
            <w:shd w:val="clear" w:fill="F4F7FB"/>
          </w:tcPr>
          <w:p>
            <w:r/>
            <w:r>
              <w:rPr>
                <w:rFonts w:ascii="Arial" w:hAnsi="Arial"/>
                <w:b w:val="0"/>
                <w:sz w:val="16"/>
              </w:rPr>
              <w:t>Control effectiveness</w:t>
            </w:r>
          </w:p>
        </w:tc>
        <w:tc>
          <w:tcPr>
            <w:tcW w:type="dxa" w:w="1440"/>
            <w:shd w:val="clear" w:fill="F4F7FB"/>
          </w:tcPr>
          <w:p>
            <w:r/>
            <w:r>
              <w:rPr>
                <w:rFonts w:ascii="Arial" w:hAnsi="Arial"/>
                <w:b w:val="0"/>
                <w:sz w:val="16"/>
              </w:rPr>
              <w:t>88%</w:t>
            </w:r>
          </w:p>
        </w:tc>
        <w:tc>
          <w:tcPr>
            <w:tcW w:type="dxa" w:w="1440"/>
            <w:shd w:val="clear" w:fill="F4F7FB"/>
          </w:tcPr>
          <w:p>
            <w:r/>
            <w:r>
              <w:rPr>
                <w:rFonts w:ascii="Arial" w:hAnsi="Arial"/>
                <w:b w:val="0"/>
                <w:sz w:val="16"/>
              </w:rPr>
              <w:t>≥95%</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Close gaps</w:t>
            </w:r>
          </w:p>
        </w:tc>
      </w:tr>
      <w:tr>
        <w:tc>
          <w:tcPr>
            <w:tcW w:type="dxa" w:w="3168"/>
          </w:tcPr>
          <w:p>
            <w:r/>
            <w:r>
              <w:rPr>
                <w:rFonts w:ascii="Arial" w:hAnsi="Arial"/>
                <w:b w:val="0"/>
                <w:sz w:val="16"/>
              </w:rPr>
              <w:t>Open critical deficiencies</w:t>
            </w:r>
          </w:p>
        </w:tc>
        <w:tc>
          <w:tcPr>
            <w:tcW w:type="dxa" w:w="1440"/>
          </w:tcPr>
          <w:p>
            <w:r/>
            <w:r>
              <w:rPr>
                <w:rFonts w:ascii="Arial" w:hAnsi="Arial"/>
                <w:b w:val="0"/>
                <w:sz w:val="16"/>
              </w:rPr>
              <w:t>2</w:t>
            </w:r>
          </w:p>
        </w:tc>
        <w:tc>
          <w:tcPr>
            <w:tcW w:type="dxa" w:w="1440"/>
          </w:tcPr>
          <w:p>
            <w:r/>
            <w:r>
              <w:rPr>
                <w:rFonts w:ascii="Arial" w:hAnsi="Arial"/>
                <w:b w:val="0"/>
                <w:sz w:val="16"/>
              </w:rPr>
              <w:t>0</w:t>
            </w:r>
          </w:p>
        </w:tc>
        <w:tc>
          <w:tcPr>
            <w:tcW w:type="dxa" w:w="1152"/>
            <w:shd w:val="clear" w:fill="B23A48"/>
          </w:tcPr>
          <w:p>
            <w:pPr>
              <w:jc w:val="center"/>
            </w:pPr>
            <w:r/>
            <w:r>
              <w:rPr>
                <w:rFonts w:ascii="Arial" w:hAnsi="Arial"/>
                <w:b/>
                <w:color w:val="FFFFFF"/>
                <w:sz w:val="16"/>
              </w:rPr>
              <w:t>Red</w:t>
            </w:r>
          </w:p>
        </w:tc>
        <w:tc>
          <w:tcPr>
            <w:tcW w:type="dxa" w:w="3744"/>
          </w:tcPr>
          <w:p>
            <w:r/>
            <w:r>
              <w:rPr>
                <w:rFonts w:ascii="Arial" w:hAnsi="Arial"/>
                <w:b w:val="0"/>
                <w:sz w:val="16"/>
              </w:rPr>
              <w:t>Escalate &amp; remediate</w:t>
            </w:r>
          </w:p>
        </w:tc>
      </w:tr>
      <w:tr>
        <w:tc>
          <w:tcPr>
            <w:tcW w:type="dxa" w:w="3168"/>
            <w:shd w:val="clear" w:fill="F4F7FB"/>
          </w:tcPr>
          <w:p>
            <w:r/>
            <w:r>
              <w:rPr>
                <w:rFonts w:ascii="Arial" w:hAnsi="Arial"/>
                <w:b w:val="0"/>
                <w:sz w:val="16"/>
              </w:rPr>
              <w:t>Monitoring coverage</w:t>
            </w:r>
          </w:p>
        </w:tc>
        <w:tc>
          <w:tcPr>
            <w:tcW w:type="dxa" w:w="1440"/>
            <w:shd w:val="clear" w:fill="F4F7FB"/>
          </w:tcPr>
          <w:p>
            <w:r/>
            <w:r>
              <w:rPr>
                <w:rFonts w:ascii="Arial" w:hAnsi="Arial"/>
                <w:b w:val="0"/>
                <w:sz w:val="16"/>
              </w:rPr>
              <w:t>70%</w:t>
            </w:r>
          </w:p>
        </w:tc>
        <w:tc>
          <w:tcPr>
            <w:tcW w:type="dxa" w:w="1440"/>
            <w:shd w:val="clear" w:fill="F4F7FB"/>
          </w:tcPr>
          <w:p>
            <w:r/>
            <w:r>
              <w:rPr>
                <w:rFonts w:ascii="Arial" w:hAnsi="Arial"/>
                <w:b w:val="0"/>
                <w:sz w:val="16"/>
              </w:rPr>
              <w:t>≥90%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Extend testing</w:t>
            </w:r>
          </w:p>
        </w:tc>
      </w:tr>
    </w:tbl>
    <w:p>
      <w:pPr>
        <w:pStyle w:val="Heading1"/>
      </w:pPr>
      <w:r>
        <w:t>13. Audit Committee Reporting</w:t>
      </w:r>
    </w:p>
    <w:p>
      <w:r>
        <w:rPr>
          <w:b w:val="0"/>
          <w:i/>
          <w:sz w:val="19"/>
        </w:rPr>
        <w:t>Illustrative one-page summary for the audit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Control environment</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Defined and standardising; advancing to Managed</w:t>
            </w:r>
          </w:p>
        </w:tc>
      </w:tr>
      <w:tr>
        <w:tc>
          <w:tcPr>
            <w:tcW w:type="dxa" w:w="2736"/>
            <w:shd w:val="clear" w:fill="F4F7FB"/>
          </w:tcPr>
          <w:p>
            <w:r/>
            <w:r>
              <w:rPr>
                <w:rFonts w:ascii="Arial" w:hAnsi="Arial"/>
                <w:b w:val="0"/>
                <w:sz w:val="16"/>
              </w:rPr>
              <w:t>Key controls</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Most operating; gaps being closed</w:t>
            </w:r>
          </w:p>
        </w:tc>
      </w:tr>
      <w:tr>
        <w:tc>
          <w:tcPr>
            <w:tcW w:type="dxa" w:w="2736"/>
          </w:tcPr>
          <w:p>
            <w:r/>
            <w:r>
              <w:rPr>
                <w:rFonts w:ascii="Arial" w:hAnsi="Arial"/>
                <w:b w:val="0"/>
                <w:sz w:val="16"/>
              </w:rPr>
              <w:t>Deficiencies</w:t>
            </w:r>
          </w:p>
        </w:tc>
        <w:tc>
          <w:tcPr>
            <w:tcW w:type="dxa" w:w="1440"/>
            <w:shd w:val="clear" w:fill="B23A48"/>
          </w:tcPr>
          <w:p>
            <w:pPr>
              <w:jc w:val="center"/>
            </w:pPr>
            <w:r/>
            <w:r>
              <w:rPr>
                <w:rFonts w:ascii="Arial" w:hAnsi="Arial"/>
                <w:b/>
                <w:color w:val="FFFFFF"/>
                <w:sz w:val="16"/>
              </w:rPr>
              <w:t>Red</w:t>
            </w:r>
          </w:p>
        </w:tc>
        <w:tc>
          <w:tcPr>
            <w:tcW w:type="dxa" w:w="7344"/>
          </w:tcPr>
          <w:p>
            <w:r/>
            <w:r>
              <w:rPr>
                <w:rFonts w:ascii="Arial" w:hAnsi="Arial"/>
                <w:b w:val="0"/>
                <w:sz w:val="16"/>
              </w:rPr>
              <w:t>Two critical items in remediation</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remediation resourcing</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Control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Effective</w:t>
            </w:r>
          </w:p>
        </w:tc>
        <w:tc>
          <w:tcPr>
            <w:tcW w:type="dxa" w:w="5184"/>
          </w:tcPr>
          <w:p>
            <w:r/>
            <w:r>
              <w:rPr>
                <w:rFonts w:ascii="Arial" w:hAnsi="Arial"/>
                <w:b w:val="0"/>
                <w:sz w:val="16"/>
              </w:rPr>
              <w:t>Design and operating effectiveness both effective</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Partially effective</w:t>
            </w:r>
          </w:p>
        </w:tc>
        <w:tc>
          <w:tcPr>
            <w:tcW w:type="dxa" w:w="5184"/>
            <w:shd w:val="clear" w:fill="F4F7FB"/>
          </w:tcPr>
          <w:p>
            <w:r/>
            <w:r>
              <w:rPr>
                <w:rFonts w:ascii="Arial" w:hAnsi="Arial"/>
                <w:b w:val="0"/>
                <w:sz w:val="16"/>
              </w:rPr>
              <w:t>Design or operating effectiveness only partially effective</w:t>
            </w:r>
          </w:p>
        </w:tc>
        <w:tc>
          <w:tcPr>
            <w:tcW w:type="dxa" w:w="2880"/>
            <w:shd w:val="clear" w:fill="F4F7FB"/>
          </w:tcPr>
          <w:p>
            <w:r/>
            <w:r>
              <w:rPr>
                <w:rFonts w:ascii="Arial" w:hAnsi="Arial"/>
                <w:b w:val="0"/>
                <w:sz w:val="16"/>
              </w:rPr>
              <w:t>Improve and re-test</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Ineffective</w:t>
            </w:r>
          </w:p>
        </w:tc>
        <w:tc>
          <w:tcPr>
            <w:tcW w:type="dxa" w:w="5184"/>
          </w:tcPr>
          <w:p>
            <w:r/>
            <w:r>
              <w:rPr>
                <w:rFonts w:ascii="Arial" w:hAnsi="Arial"/>
                <w:b w:val="0"/>
                <w:sz w:val="16"/>
              </w:rPr>
              <w:t>Design or operating effectiveness ineffective; or critical deficiency</w:t>
            </w:r>
          </w:p>
        </w:tc>
        <w:tc>
          <w:tcPr>
            <w:tcW w:type="dxa" w:w="2880"/>
          </w:tcPr>
          <w:p>
            <w:r/>
            <w:r>
              <w:rPr>
                <w:rFonts w:ascii="Arial" w:hAnsi="Arial"/>
                <w:b w:val="0"/>
                <w:sz w:val="16"/>
              </w:rPr>
              <w:t>Escalate and remediate</w:t>
            </w:r>
          </w:p>
        </w:tc>
      </w:tr>
    </w:tbl>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