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CORPORATE GOVERNANCE CENTRE™</w:t>
      </w:r>
    </w:p>
    <w:p>
      <w:pPr>
        <w:jc w:val="center"/>
      </w:pPr>
      <w:r>
        <w:rPr>
          <w:b/>
          <w:color w:val="10243F"/>
          <w:sz w:val="48"/>
        </w:rPr>
        <w:t>Board Evaluation Template</w:t>
      </w:r>
    </w:p>
    <w:p>
      <w:pPr>
        <w:jc w:val="center"/>
      </w:pPr>
      <w:r>
        <w:rPr>
          <w:color w:val="C97B2C"/>
          <w:sz w:val="26"/>
        </w:rPr>
        <w:t>Annual board, committee &amp; director evaluation</w:t>
      </w:r>
    </w:p>
    <w:p/>
    <w:p/>
    <w:p>
      <w:pPr>
        <w:jc w:val="center"/>
      </w:pPr>
      <w:r>
        <w:rPr>
          <w:color w:val="555555"/>
          <w:sz w:val="20"/>
        </w:rPr>
        <w:t>Board Chair / Company Secretary  ·  Flagship Edition 2026</w:t>
      </w:r>
    </w:p>
    <w:p>
      <w:pPr>
        <w:jc w:val="center"/>
      </w:pPr>
      <w:r>
        <w:rPr>
          <w:i/>
          <w:color w:val="555555"/>
          <w:sz w:val="17"/>
        </w:rPr>
        <w:t>Nigeria-anchored: NCCG 2018 · FRCN · SEC · CBN · NAICOM · CAC · CAMA  ·  Aligned to OECD · IFC · King IV · ISO 37000</w:t>
      </w:r>
    </w:p>
    <w:p>
      <w:r>
        <w:br w:type="page"/>
      </w:r>
    </w:p>
    <w:p>
      <w:pPr>
        <w:pStyle w:val="Heading1"/>
      </w:pPr>
      <w:r>
        <w:t>1. Purpose &amp; Scope</w:t>
      </w:r>
    </w:p>
    <w:p>
      <w:r>
        <w:rPr>
          <w:b w:val="0"/>
          <w:i w:val="0"/>
          <w:sz w:val="20"/>
        </w:rPr>
        <w:t>This template supports the annual evaluation of the Board, its committees and individual directors, consistent with NCCG 2018 expectations and FRCN guidance. Rate each statement 1 (strongly disagree) to 5 (strongly agree); a scored workbook version is available for automatic scoring.</w:t>
      </w:r>
    </w:p>
    <w:p>
      <w:pPr>
        <w:pStyle w:val="Heading1"/>
      </w:pPr>
      <w:r>
        <w:t>2. Board Effectiveness — rating statements</w:t>
      </w:r>
    </w:p>
    <w:p>
      <w:r>
        <w:rPr>
          <w:b w:val="0"/>
          <w:i w:val="0"/>
          <w:sz w:val="19"/>
        </w:rPr>
        <w:t>•  The board has the right composition, balance and independence   [ 1  2  3  4  5 ]</w:t>
      </w:r>
    </w:p>
    <w:p>
      <w:r>
        <w:rPr>
          <w:b w:val="0"/>
          <w:i w:val="0"/>
          <w:sz w:val="19"/>
        </w:rPr>
        <w:t>•  Roles of the Chair, CEO and NEDs are clear and respected   [ 1  2  3  4  5 ]</w:t>
      </w:r>
    </w:p>
    <w:p>
      <w:r>
        <w:rPr>
          <w:b w:val="0"/>
          <w:i w:val="0"/>
          <w:sz w:val="19"/>
        </w:rPr>
        <w:t>•  The board receives quality, timely information   [ 1  2  3  4  5 ]</w:t>
      </w:r>
    </w:p>
    <w:p>
      <w:r>
        <w:rPr>
          <w:b w:val="0"/>
          <w:i w:val="0"/>
          <w:sz w:val="19"/>
        </w:rPr>
        <w:t>•  Board meetings allow proper debate and challenge   [ 1  2  3  4  5 ]</w:t>
      </w:r>
    </w:p>
    <w:p>
      <w:r>
        <w:rPr>
          <w:b w:val="0"/>
          <w:i w:val="0"/>
          <w:sz w:val="19"/>
        </w:rPr>
        <w:t>•  The board focuses on strategy, risk and value, not just compliance   [ 1  2  3  4  5 ]</w:t>
      </w:r>
    </w:p>
    <w:p>
      <w:r>
        <w:rPr>
          <w:b w:val="0"/>
          <w:i w:val="0"/>
          <w:sz w:val="19"/>
        </w:rPr>
        <w:t>•  Committees support the board effectively   [ 1  2  3  4  5 ]</w:t>
      </w:r>
    </w:p>
    <w:p>
      <w:r>
        <w:rPr>
          <w:b w:val="0"/>
          <w:i w:val="0"/>
          <w:sz w:val="19"/>
        </w:rPr>
        <w:t>•  The board oversees risk and control effectively   [ 1  2  3  4  5 ]</w:t>
      </w:r>
    </w:p>
    <w:p>
      <w:r>
        <w:rPr>
          <w:b w:val="0"/>
          <w:i w:val="0"/>
          <w:sz w:val="19"/>
        </w:rPr>
        <w:t>•  The board reflects on and improves its own performance   [ 1  2  3  4  5 ]</w:t>
      </w:r>
    </w:p>
    <w:p>
      <w:pPr>
        <w:pStyle w:val="Heading1"/>
      </w:pPr>
      <w:r>
        <w:t>3. Committee Effectiveness</w:t>
      </w:r>
    </w:p>
    <w:p>
      <w:r>
        <w:rPr>
          <w:b w:val="0"/>
          <w:i w:val="0"/>
          <w:sz w:val="19"/>
        </w:rPr>
        <w:t>•  Each committee has a clear charter and workplan   [ 1  2  3  4  5 ]</w:t>
      </w:r>
    </w:p>
    <w:p>
      <w:r>
        <w:rPr>
          <w:b w:val="0"/>
          <w:i w:val="0"/>
          <w:sz w:val="19"/>
        </w:rPr>
        <w:t>•  Committee membership and independence are appropriate   [ 1  2  3  4  5 ]</w:t>
      </w:r>
    </w:p>
    <w:p>
      <w:r>
        <w:rPr>
          <w:b w:val="0"/>
          <w:i w:val="0"/>
          <w:sz w:val="19"/>
        </w:rPr>
        <w:t>•  Committees receive quality information   [ 1  2  3  4  5 ]</w:t>
      </w:r>
    </w:p>
    <w:p>
      <w:r>
        <w:rPr>
          <w:b w:val="0"/>
          <w:i w:val="0"/>
          <w:sz w:val="19"/>
        </w:rPr>
        <w:t>•  Committees report effectively to the board   [ 1  2  3  4  5 ]</w:t>
      </w:r>
    </w:p>
    <w:p>
      <w:pPr>
        <w:pStyle w:val="Heading1"/>
      </w:pPr>
      <w:r>
        <w:t>4. Director Contribution (peer/self)</w:t>
      </w:r>
    </w:p>
    <w:p>
      <w:r>
        <w:rPr>
          <w:b w:val="0"/>
          <w:i w:val="0"/>
          <w:sz w:val="19"/>
        </w:rPr>
        <w:t>•  Prepares for and contributes to meetings   [ 1  2  3  4  5 ]</w:t>
      </w:r>
    </w:p>
    <w:p>
      <w:r>
        <w:rPr>
          <w:b w:val="0"/>
          <w:i w:val="0"/>
          <w:sz w:val="19"/>
        </w:rPr>
        <w:t>•  Brings relevant skills and independent judgement   [ 1  2  3  4  5 ]</w:t>
      </w:r>
    </w:p>
    <w:p>
      <w:r>
        <w:rPr>
          <w:b w:val="0"/>
          <w:i w:val="0"/>
          <w:sz w:val="19"/>
        </w:rPr>
        <w:t>•  Commits sufficient time   [ 1  2  3  4  5 ]</w:t>
      </w:r>
    </w:p>
    <w:p>
      <w:r>
        <w:rPr>
          <w:b w:val="0"/>
          <w:i w:val="0"/>
          <w:sz w:val="19"/>
        </w:rPr>
        <w:t>•  Acts with integrity and in the company's interests   [ 1  2  3  4  5 ]</w:t>
      </w:r>
    </w:p>
    <w:p>
      <w:pPr>
        <w:pStyle w:val="Heading1"/>
      </w:pPr>
      <w:r>
        <w:t>5. Scoring &amp; Bands</w:t>
      </w:r>
    </w:p>
    <w:tbl>
      <w:tblPr>
        <w:tblStyle w:val="TableGrid"/>
        <w:tblW w:type="auto" w:w="0"/>
        <w:jc w:val="center"/>
        <w:tblLook w:firstColumn="1" w:firstRow="1" w:lastColumn="0" w:lastRow="0" w:noHBand="0" w:noVBand="1" w:val="04A0"/>
      </w:tblPr>
      <w:tblGrid>
        <w:gridCol w:w="3264"/>
        <w:gridCol w:w="3264"/>
        <w:gridCol w:w="3264"/>
      </w:tblGrid>
      <w:tr>
        <w:tc>
          <w:tcPr>
            <w:tcW w:type="dxa" w:w="2304"/>
            <w:shd w:val="clear" w:fill="1B4D89"/>
          </w:tcPr>
          <w:p>
            <w:r/>
            <w:r>
              <w:rPr>
                <w:rFonts w:ascii="Arial" w:hAnsi="Arial"/>
                <w:b/>
                <w:color w:val="FFFFFF"/>
                <w:sz w:val="16"/>
              </w:rPr>
              <w:t>Band</w:t>
            </w:r>
          </w:p>
        </w:tc>
        <w:tc>
          <w:tcPr>
            <w:tcW w:type="dxa" w:w="2016"/>
            <w:shd w:val="clear" w:fill="1B4D89"/>
          </w:tcPr>
          <w:p>
            <w:r/>
            <w:r>
              <w:rPr>
                <w:rFonts w:ascii="Arial" w:hAnsi="Arial"/>
                <w:b/>
                <w:color w:val="FFFFFF"/>
                <w:sz w:val="16"/>
              </w:rPr>
              <w:t>Score</w:t>
            </w:r>
          </w:p>
        </w:tc>
        <w:tc>
          <w:tcPr>
            <w:tcW w:type="dxa" w:w="7200"/>
            <w:shd w:val="clear" w:fill="1B4D89"/>
          </w:tcPr>
          <w:p>
            <w:r/>
            <w:r>
              <w:rPr>
                <w:rFonts w:ascii="Arial" w:hAnsi="Arial"/>
                <w:b/>
                <w:color w:val="FFFFFF"/>
                <w:sz w:val="16"/>
              </w:rPr>
              <w:t>Interpretation</w:t>
            </w:r>
          </w:p>
        </w:tc>
      </w:tr>
      <w:tr>
        <w:tc>
          <w:tcPr>
            <w:tcW w:type="dxa" w:w="2304"/>
          </w:tcPr>
          <w:p>
            <w:r/>
            <w:r>
              <w:rPr>
                <w:rFonts w:ascii="Arial" w:hAnsi="Arial"/>
                <w:b w:val="0"/>
                <w:sz w:val="16"/>
              </w:rPr>
              <w:t>Foundational</w:t>
            </w:r>
          </w:p>
        </w:tc>
        <w:tc>
          <w:tcPr>
            <w:tcW w:type="dxa" w:w="2016"/>
          </w:tcPr>
          <w:p>
            <w:r/>
            <w:r>
              <w:rPr>
                <w:rFonts w:ascii="Arial" w:hAnsi="Arial"/>
                <w:b w:val="0"/>
                <w:sz w:val="16"/>
              </w:rPr>
              <w:t>0–40</w:t>
            </w:r>
          </w:p>
        </w:tc>
        <w:tc>
          <w:tcPr>
            <w:tcW w:type="dxa" w:w="7200"/>
          </w:tcPr>
          <w:p>
            <w:r/>
            <w:r>
              <w:rPr>
                <w:rFonts w:ascii="Arial" w:hAnsi="Arial"/>
                <w:b w:val="0"/>
                <w:sz w:val="16"/>
              </w:rPr>
              <w:t>Significant improvement needed</w:t>
            </w:r>
          </w:p>
        </w:tc>
      </w:tr>
      <w:tr>
        <w:tc>
          <w:tcPr>
            <w:tcW w:type="dxa" w:w="2304"/>
            <w:shd w:val="clear" w:fill="F4F7FB"/>
          </w:tcPr>
          <w:p>
            <w:r/>
            <w:r>
              <w:rPr>
                <w:rFonts w:ascii="Arial" w:hAnsi="Arial"/>
                <w:b w:val="0"/>
                <w:sz w:val="16"/>
              </w:rPr>
              <w:t>Developing</w:t>
            </w:r>
          </w:p>
        </w:tc>
        <w:tc>
          <w:tcPr>
            <w:tcW w:type="dxa" w:w="2016"/>
            <w:shd w:val="clear" w:fill="F4F7FB"/>
          </w:tcPr>
          <w:p>
            <w:r/>
            <w:r>
              <w:rPr>
                <w:rFonts w:ascii="Arial" w:hAnsi="Arial"/>
                <w:b w:val="0"/>
                <w:sz w:val="16"/>
              </w:rPr>
              <w:t>41–60</w:t>
            </w:r>
          </w:p>
        </w:tc>
        <w:tc>
          <w:tcPr>
            <w:tcW w:type="dxa" w:w="7200"/>
            <w:shd w:val="clear" w:fill="F4F7FB"/>
          </w:tcPr>
          <w:p>
            <w:r/>
            <w:r>
              <w:rPr>
                <w:rFonts w:ascii="Arial" w:hAnsi="Arial"/>
                <w:b w:val="0"/>
                <w:sz w:val="16"/>
              </w:rPr>
              <w:t>Developing effectiveness</w:t>
            </w:r>
          </w:p>
        </w:tc>
      </w:tr>
      <w:tr>
        <w:tc>
          <w:tcPr>
            <w:tcW w:type="dxa" w:w="2304"/>
          </w:tcPr>
          <w:p>
            <w:r/>
            <w:r>
              <w:rPr>
                <w:rFonts w:ascii="Arial" w:hAnsi="Arial"/>
                <w:b w:val="0"/>
                <w:sz w:val="16"/>
              </w:rPr>
              <w:t>Established</w:t>
            </w:r>
          </w:p>
        </w:tc>
        <w:tc>
          <w:tcPr>
            <w:tcW w:type="dxa" w:w="2016"/>
          </w:tcPr>
          <w:p>
            <w:r/>
            <w:r>
              <w:rPr>
                <w:rFonts w:ascii="Arial" w:hAnsi="Arial"/>
                <w:b w:val="0"/>
                <w:sz w:val="16"/>
              </w:rPr>
              <w:t>61–80</w:t>
            </w:r>
          </w:p>
        </w:tc>
        <w:tc>
          <w:tcPr>
            <w:tcW w:type="dxa" w:w="7200"/>
          </w:tcPr>
          <w:p>
            <w:r/>
            <w:r>
              <w:rPr>
                <w:rFonts w:ascii="Arial" w:hAnsi="Arial"/>
                <w:b w:val="0"/>
                <w:sz w:val="16"/>
              </w:rPr>
              <w:t>Effective board</w:t>
            </w:r>
          </w:p>
        </w:tc>
      </w:tr>
      <w:tr>
        <w:tc>
          <w:tcPr>
            <w:tcW w:type="dxa" w:w="2304"/>
            <w:shd w:val="clear" w:fill="F4F7FB"/>
          </w:tcPr>
          <w:p>
            <w:r/>
            <w:r>
              <w:rPr>
                <w:rFonts w:ascii="Arial" w:hAnsi="Arial"/>
                <w:b w:val="0"/>
                <w:sz w:val="16"/>
              </w:rPr>
              <w:t>Strategic</w:t>
            </w:r>
          </w:p>
        </w:tc>
        <w:tc>
          <w:tcPr>
            <w:tcW w:type="dxa" w:w="2016"/>
            <w:shd w:val="clear" w:fill="F4F7FB"/>
          </w:tcPr>
          <w:p>
            <w:r/>
            <w:r>
              <w:rPr>
                <w:rFonts w:ascii="Arial" w:hAnsi="Arial"/>
                <w:b w:val="0"/>
                <w:sz w:val="16"/>
              </w:rPr>
              <w:t>81–100</w:t>
            </w:r>
          </w:p>
        </w:tc>
        <w:tc>
          <w:tcPr>
            <w:tcW w:type="dxa" w:w="7200"/>
            <w:shd w:val="clear" w:fill="F4F7FB"/>
          </w:tcPr>
          <w:p>
            <w:r/>
            <w:r>
              <w:rPr>
                <w:rFonts w:ascii="Arial" w:hAnsi="Arial"/>
                <w:b w:val="0"/>
                <w:sz w:val="16"/>
              </w:rPr>
              <w:t>Highly effective, leading-practice</w:t>
            </w:r>
          </w:p>
        </w:tc>
      </w:tr>
    </w:tbl>
    <w:p>
      <w:r>
        <w:rPr>
          <w:b w:val="0"/>
          <w:i w:val="0"/>
          <w:sz w:val="19"/>
        </w:rPr>
        <w:t>Average the statement scores (1–5), multiply by 20 for a 0–100 index, and map to the band.</w:t>
      </w:r>
    </w:p>
    <w:p>
      <w:pPr>
        <w:pStyle w:val="Heading1"/>
      </w:pPr>
      <w:r>
        <w:t>6. Findings &amp; Action Plan</w:t>
      </w:r>
    </w:p>
    <w:tbl>
      <w:tblPr>
        <w:tblStyle w:val="TableGrid"/>
        <w:tblW w:type="auto" w:w="0"/>
        <w:jc w:val="center"/>
        <w:tblLook w:firstColumn="1" w:firstRow="1" w:lastColumn="0" w:lastRow="0" w:noHBand="0" w:noVBand="1" w:val="04A0"/>
      </w:tblPr>
      <w:tblGrid>
        <w:gridCol w:w="2448"/>
        <w:gridCol w:w="2448"/>
        <w:gridCol w:w="2448"/>
        <w:gridCol w:w="2448"/>
      </w:tblGrid>
      <w:tr>
        <w:tc>
          <w:tcPr>
            <w:tcW w:type="dxa" w:w="4320"/>
            <w:shd w:val="clear" w:fill="1B4D89"/>
          </w:tcPr>
          <w:p>
            <w:r/>
            <w:r>
              <w:rPr>
                <w:rFonts w:ascii="Arial" w:hAnsi="Arial"/>
                <w:b/>
                <w:color w:val="FFFFFF"/>
                <w:sz w:val="16"/>
              </w:rPr>
              <w:t>Finding</w:t>
            </w:r>
          </w:p>
        </w:tc>
        <w:tc>
          <w:tcPr>
            <w:tcW w:type="dxa" w:w="3456"/>
            <w:shd w:val="clear" w:fill="1B4D89"/>
          </w:tcPr>
          <w:p>
            <w:r/>
            <w:r>
              <w:rPr>
                <w:rFonts w:ascii="Arial" w:hAnsi="Arial"/>
                <w:b/>
                <w:color w:val="FFFFFF"/>
                <w:sz w:val="16"/>
              </w:rPr>
              <w:t>Action</w:t>
            </w:r>
          </w:p>
        </w:tc>
        <w:tc>
          <w:tcPr>
            <w:tcW w:type="dxa" w:w="1872"/>
            <w:shd w:val="clear" w:fill="1B4D89"/>
          </w:tcPr>
          <w:p>
            <w:r/>
            <w:r>
              <w:rPr>
                <w:rFonts w:ascii="Arial" w:hAnsi="Arial"/>
                <w:b/>
                <w:color w:val="FFFFFF"/>
                <w:sz w:val="16"/>
              </w:rPr>
              <w:t>Owner</w:t>
            </w:r>
          </w:p>
        </w:tc>
        <w:tc>
          <w:tcPr>
            <w:tcW w:type="dxa" w:w="1872"/>
            <w:shd w:val="clear" w:fill="1B4D89"/>
          </w:tcPr>
          <w:p>
            <w:r/>
            <w:r>
              <w:rPr>
                <w:rFonts w:ascii="Arial" w:hAnsi="Arial"/>
                <w:b/>
                <w:color w:val="FFFFFF"/>
                <w:sz w:val="16"/>
              </w:rPr>
              <w:t>Due</w:t>
            </w:r>
          </w:p>
        </w:tc>
      </w:tr>
      <w:tr>
        <w:tc>
          <w:tcPr>
            <w:tcW w:type="dxa" w:w="4320"/>
          </w:tcPr>
          <w:p>
            <w:r/>
            <w:r>
              <w:rPr>
                <w:rFonts w:ascii="Arial" w:hAnsi="Arial"/>
                <w:b w:val="0"/>
                <w:sz w:val="16"/>
              </w:rPr>
              <w:t>[finding]</w:t>
            </w:r>
          </w:p>
        </w:tc>
        <w:tc>
          <w:tcPr>
            <w:tcW w:type="dxa" w:w="3456"/>
          </w:tcPr>
          <w:p>
            <w:r/>
            <w:r>
              <w:rPr>
                <w:rFonts w:ascii="Arial" w:hAnsi="Arial"/>
                <w:b w:val="0"/>
                <w:sz w:val="16"/>
              </w:rPr>
              <w:t>[action]</w:t>
            </w:r>
          </w:p>
        </w:tc>
        <w:tc>
          <w:tcPr>
            <w:tcW w:type="dxa" w:w="1872"/>
          </w:tcPr>
          <w:p>
            <w:r/>
            <w:r>
              <w:rPr>
                <w:rFonts w:ascii="Arial" w:hAnsi="Arial"/>
                <w:b w:val="0"/>
                <w:sz w:val="16"/>
              </w:rPr>
              <w:t>[owner]</w:t>
            </w:r>
          </w:p>
        </w:tc>
        <w:tc>
          <w:tcPr>
            <w:tcW w:type="dxa" w:w="1872"/>
          </w:tcPr>
          <w:p>
            <w:r/>
            <w:r>
              <w:rPr>
                <w:rFonts w:ascii="Arial" w:hAnsi="Arial"/>
                <w:b w:val="0"/>
                <w:sz w:val="16"/>
              </w:rPr>
              <w:t>[date]</w:t>
            </w:r>
          </w:p>
        </w:tc>
      </w:tr>
      <w:tr>
        <w:tc>
          <w:tcPr>
            <w:tcW w:type="dxa" w:w="4320"/>
            <w:shd w:val="clear" w:fill="F4F7FB"/>
          </w:tcPr>
          <w:p>
            <w:r/>
            <w:r>
              <w:rPr>
                <w:rFonts w:ascii="Arial" w:hAnsi="Arial"/>
                <w:b w:val="0"/>
                <w:sz w:val="16"/>
              </w:rPr>
              <w:t>[finding]</w:t>
            </w:r>
          </w:p>
        </w:tc>
        <w:tc>
          <w:tcPr>
            <w:tcW w:type="dxa" w:w="3456"/>
            <w:shd w:val="clear" w:fill="F4F7FB"/>
          </w:tcPr>
          <w:p>
            <w:r/>
            <w:r>
              <w:rPr>
                <w:rFonts w:ascii="Arial" w:hAnsi="Arial"/>
                <w:b w:val="0"/>
                <w:sz w:val="16"/>
              </w:rPr>
              <w:t>[action]</w:t>
            </w:r>
          </w:p>
        </w:tc>
        <w:tc>
          <w:tcPr>
            <w:tcW w:type="dxa" w:w="1872"/>
            <w:shd w:val="clear" w:fill="F4F7FB"/>
          </w:tcPr>
          <w:p>
            <w:r/>
            <w:r>
              <w:rPr>
                <w:rFonts w:ascii="Arial" w:hAnsi="Arial"/>
                <w:b w:val="0"/>
                <w:sz w:val="16"/>
              </w:rPr>
              <w:t>[owner]</w:t>
            </w:r>
          </w:p>
        </w:tc>
        <w:tc>
          <w:tcPr>
            <w:tcW w:type="dxa" w:w="1872"/>
            <w:shd w:val="clear" w:fill="F4F7FB"/>
          </w:tcPr>
          <w:p>
            <w:r/>
            <w:r>
              <w:rPr>
                <w:rFonts w:ascii="Arial" w:hAnsi="Arial"/>
                <w:b w:val="0"/>
                <w:sz w:val="16"/>
              </w:rPr>
              <w:t>[date]</w:t>
            </w:r>
          </w:p>
        </w:tc>
      </w:tr>
    </w:tbl>
    <w:p>
      <w:pPr>
        <w:pStyle w:val="Heading2"/>
      </w:pPr>
      <w:r>
        <w:t>Notes &amp; Disclaimer</w:t>
      </w:r>
    </w:p>
    <w:p>
      <w:r>
        <w:rPr>
          <w:b w:val="0"/>
          <w:i/>
          <w:sz w:val="18"/>
        </w:rPr>
        <w:t>This resource is a professional governance template, not legal advice. It is anchored to the NCCG 2018 and Nigeria's regulatory framework (FRCN, SEC, CBN, NAICOM, CAC, CAMA) with international alignment (OECD, IFC, King IV, ISO 37000), referenced by name. Organisations must apply the current text of each applicable code, law and regulator guideline and take professional counsel. Bracketed fields [like this] are placeholders to complete.</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