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RISK MANAGEMENT CENTRE™</w:t>
      </w:r>
    </w:p>
    <w:p>
      <w:pPr>
        <w:jc w:val="center"/>
      </w:pPr>
      <w:r>
        <w:rPr>
          <w:b/>
          <w:color w:val="10243F"/>
          <w:sz w:val="52"/>
        </w:rPr>
        <w:t>Risk Governance Toolkit™</w:t>
      </w:r>
    </w:p>
    <w:p>
      <w:pPr>
        <w:jc w:val="center"/>
      </w:pPr>
      <w:r>
        <w:rPr>
          <w:color w:val="C97B2C"/>
          <w:sz w:val="26"/>
        </w:rPr>
        <w:t>Structure risk authority, accountability and oversight</w:t>
      </w:r>
    </w:p>
    <w:p/>
    <w:p/>
    <w:p>
      <w:pPr>
        <w:jc w:val="center"/>
      </w:pPr>
      <w:r>
        <w:rPr>
          <w:color w:val="555555"/>
          <w:sz w:val="20"/>
        </w:rPr>
        <w:t>Board / CRO / Internal Audit  ·  Access Tier T2  ·  Flagship Edition 2026</w:t>
      </w:r>
    </w:p>
    <w:p>
      <w:pPr>
        <w:jc w:val="center"/>
      </w:pPr>
      <w:r>
        <w:rPr>
          <w:i/>
          <w:color w:val="555555"/>
          <w:sz w:val="18"/>
        </w:rPr>
        <w:t>Publication-ready resource for the Outliers Resource Library</w:t>
      </w:r>
    </w:p>
    <w:p>
      <w:r>
        <w:br w:type="page"/>
      </w:r>
    </w:p>
    <w:p>
      <w:pPr>
        <w:pStyle w:val="Heading1"/>
      </w:pPr>
      <w:r>
        <w:t>1. Full Guide</w:t>
      </w:r>
    </w:p>
    <w:p>
      <w:r>
        <w:rPr>
          <w:b w:val="0"/>
          <w:i w:val="0"/>
          <w:sz w:val="20"/>
        </w:rPr>
        <w:t>Risk governance defines how authority, accountability and oversight for risk are structured and exercised. Strong governance ensures the right risks reach the right people with the right information at the right time. This toolkit provides the three-lines model, committee mandates, delegation, escalation and assurance mapping.</w:t>
      </w:r>
    </w:p>
    <w:p>
      <w:pPr>
        <w:pStyle w:val="Heading2"/>
      </w:pPr>
      <w:r>
        <w:t>Three lines of defence</w:t>
      </w:r>
    </w:p>
    <w:tbl>
      <w:tblPr>
        <w:tblStyle w:val="TableGrid"/>
        <w:tblW w:type="auto" w:w="0"/>
        <w:jc w:val="center"/>
        <w:tblLook w:firstColumn="1" w:firstRow="1" w:lastColumn="0" w:lastRow="0" w:noHBand="0" w:noVBand="1" w:val="04A0"/>
      </w:tblPr>
      <w:tblGrid>
        <w:gridCol w:w="3264"/>
        <w:gridCol w:w="3264"/>
        <w:gridCol w:w="3264"/>
      </w:tblGrid>
      <w:tr>
        <w:tc>
          <w:tcPr>
            <w:tcW w:type="dxa" w:w="2016"/>
            <w:shd w:val="clear" w:fill="1B4D89"/>
          </w:tcPr>
          <w:p>
            <w:r/>
            <w:r>
              <w:rPr>
                <w:rFonts w:ascii="Arial" w:hAnsi="Arial"/>
                <w:b/>
                <w:color w:val="FFFFFF"/>
                <w:sz w:val="16"/>
              </w:rPr>
              <w:t>Line</w:t>
            </w:r>
          </w:p>
        </w:tc>
        <w:tc>
          <w:tcPr>
            <w:tcW w:type="dxa" w:w="3456"/>
            <w:shd w:val="clear" w:fill="1B4D89"/>
          </w:tcPr>
          <w:p>
            <w:r/>
            <w:r>
              <w:rPr>
                <w:rFonts w:ascii="Arial" w:hAnsi="Arial"/>
                <w:b/>
                <w:color w:val="FFFFFF"/>
                <w:sz w:val="16"/>
              </w:rPr>
              <w:t>Who</w:t>
            </w:r>
          </w:p>
        </w:tc>
        <w:tc>
          <w:tcPr>
            <w:tcW w:type="dxa" w:w="6048"/>
            <w:shd w:val="clear" w:fill="1B4D89"/>
          </w:tcPr>
          <w:p>
            <w:r/>
            <w:r>
              <w:rPr>
                <w:rFonts w:ascii="Arial" w:hAnsi="Arial"/>
                <w:b/>
                <w:color w:val="FFFFFF"/>
                <w:sz w:val="16"/>
              </w:rPr>
              <w:t>Responsibility</w:t>
            </w:r>
          </w:p>
        </w:tc>
      </w:tr>
      <w:tr>
        <w:tc>
          <w:tcPr>
            <w:tcW w:type="dxa" w:w="2016"/>
          </w:tcPr>
          <w:p>
            <w:r/>
            <w:r>
              <w:rPr>
                <w:rFonts w:ascii="Arial" w:hAnsi="Arial"/>
                <w:b w:val="0"/>
                <w:sz w:val="16"/>
              </w:rPr>
              <w:t>First line</w:t>
            </w:r>
          </w:p>
        </w:tc>
        <w:tc>
          <w:tcPr>
            <w:tcW w:type="dxa" w:w="3456"/>
          </w:tcPr>
          <w:p>
            <w:r/>
            <w:r>
              <w:rPr>
                <w:rFonts w:ascii="Arial" w:hAnsi="Arial"/>
                <w:b w:val="0"/>
                <w:sz w:val="16"/>
              </w:rPr>
              <w:t>Business &amp; process owners</w:t>
            </w:r>
          </w:p>
        </w:tc>
        <w:tc>
          <w:tcPr>
            <w:tcW w:type="dxa" w:w="6048"/>
          </w:tcPr>
          <w:p>
            <w:r/>
            <w:r>
              <w:rPr>
                <w:rFonts w:ascii="Arial" w:hAnsi="Arial"/>
                <w:b w:val="0"/>
                <w:sz w:val="16"/>
              </w:rPr>
              <w:t>Own and manage risk in day-to-day operations</w:t>
            </w:r>
          </w:p>
        </w:tc>
      </w:tr>
      <w:tr>
        <w:tc>
          <w:tcPr>
            <w:tcW w:type="dxa" w:w="2016"/>
            <w:shd w:val="clear" w:fill="F4F7FB"/>
          </w:tcPr>
          <w:p>
            <w:r/>
            <w:r>
              <w:rPr>
                <w:rFonts w:ascii="Arial" w:hAnsi="Arial"/>
                <w:b w:val="0"/>
                <w:sz w:val="16"/>
              </w:rPr>
              <w:t>Second line</w:t>
            </w:r>
          </w:p>
        </w:tc>
        <w:tc>
          <w:tcPr>
            <w:tcW w:type="dxa" w:w="3456"/>
            <w:shd w:val="clear" w:fill="F4F7FB"/>
          </w:tcPr>
          <w:p>
            <w:r/>
            <w:r>
              <w:rPr>
                <w:rFonts w:ascii="Arial" w:hAnsi="Arial"/>
                <w:b w:val="0"/>
                <w:sz w:val="16"/>
              </w:rPr>
              <w:t>Risk &amp; compliance functions</w:t>
            </w:r>
          </w:p>
        </w:tc>
        <w:tc>
          <w:tcPr>
            <w:tcW w:type="dxa" w:w="6048"/>
            <w:shd w:val="clear" w:fill="F4F7FB"/>
          </w:tcPr>
          <w:p>
            <w:r/>
            <w:r>
              <w:rPr>
                <w:rFonts w:ascii="Arial" w:hAnsi="Arial"/>
                <w:b w:val="0"/>
                <w:sz w:val="16"/>
              </w:rPr>
              <w:t>Set framework, oversee, challenge, aggregate</w:t>
            </w:r>
          </w:p>
        </w:tc>
      </w:tr>
      <w:tr>
        <w:tc>
          <w:tcPr>
            <w:tcW w:type="dxa" w:w="2016"/>
          </w:tcPr>
          <w:p>
            <w:r/>
            <w:r>
              <w:rPr>
                <w:rFonts w:ascii="Arial" w:hAnsi="Arial"/>
                <w:b w:val="0"/>
                <w:sz w:val="16"/>
              </w:rPr>
              <w:t>Third line</w:t>
            </w:r>
          </w:p>
        </w:tc>
        <w:tc>
          <w:tcPr>
            <w:tcW w:type="dxa" w:w="3456"/>
          </w:tcPr>
          <w:p>
            <w:r/>
            <w:r>
              <w:rPr>
                <w:rFonts w:ascii="Arial" w:hAnsi="Arial"/>
                <w:b w:val="0"/>
                <w:sz w:val="16"/>
              </w:rPr>
              <w:t>Internal audit</w:t>
            </w:r>
          </w:p>
        </w:tc>
        <w:tc>
          <w:tcPr>
            <w:tcW w:type="dxa" w:w="6048"/>
          </w:tcPr>
          <w:p>
            <w:r/>
            <w:r>
              <w:rPr>
                <w:rFonts w:ascii="Arial" w:hAnsi="Arial"/>
                <w:b w:val="0"/>
                <w:sz w:val="16"/>
              </w:rPr>
              <w:t>Independent assurance over the whole system</w:t>
            </w:r>
          </w:p>
        </w:tc>
      </w:tr>
    </w:tbl>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Fragile</w:t>
            </w:r>
          </w:p>
        </w:tc>
        <w:tc>
          <w:tcPr>
            <w:tcW w:type="dxa" w:w="2232"/>
            <w:shd w:val="clear" w:fill="1B4D89"/>
          </w:tcPr>
          <w:p>
            <w:r/>
            <w:r>
              <w:rPr>
                <w:rFonts w:ascii="Arial" w:hAnsi="Arial"/>
                <w:b/>
                <w:color w:val="FFFFFF"/>
                <w:sz w:val="16"/>
              </w:rPr>
              <w:t>L2 Functional</w:t>
            </w:r>
          </w:p>
        </w:tc>
        <w:tc>
          <w:tcPr>
            <w:tcW w:type="dxa" w:w="2232"/>
            <w:shd w:val="clear" w:fill="1B4D89"/>
          </w:tcPr>
          <w:p>
            <w:r/>
            <w:r>
              <w:rPr>
                <w:rFonts w:ascii="Arial" w:hAnsi="Arial"/>
                <w:b/>
                <w:color w:val="FFFFFF"/>
                <w:sz w:val="16"/>
              </w:rPr>
              <w:t>L3 Disciplined</w:t>
            </w:r>
          </w:p>
        </w:tc>
        <w:tc>
          <w:tcPr>
            <w:tcW w:type="dxa" w:w="2232"/>
            <w:shd w:val="clear" w:fill="1B4D89"/>
          </w:tcPr>
          <w:p>
            <w:r/>
            <w:r>
              <w:rPr>
                <w:rFonts w:ascii="Arial" w:hAnsi="Arial"/>
                <w:b/>
                <w:color w:val="FFFFFF"/>
                <w:sz w:val="16"/>
              </w:rPr>
              <w:t>L4 Strategic</w:t>
            </w:r>
          </w:p>
        </w:tc>
        <w:tc>
          <w:tcPr>
            <w:tcW w:type="dxa" w:w="2232"/>
            <w:shd w:val="clear" w:fill="1B4D89"/>
          </w:tcPr>
          <w:p>
            <w:r/>
            <w:r>
              <w:rPr>
                <w:rFonts w:ascii="Arial" w:hAnsi="Arial"/>
                <w:b/>
                <w:color w:val="FFFFFF"/>
                <w:sz w:val="16"/>
              </w:rPr>
              <w:t>L5 Resilient</w:t>
            </w:r>
          </w:p>
        </w:tc>
      </w:tr>
      <w:tr>
        <w:tc>
          <w:tcPr>
            <w:tcW w:type="dxa" w:w="2232"/>
          </w:tcPr>
          <w:p>
            <w:r/>
            <w:r>
              <w:rPr>
                <w:rFonts w:ascii="Arial" w:hAnsi="Arial"/>
                <w:b w:val="0"/>
                <w:sz w:val="16"/>
              </w:rPr>
              <w:t>Informal / reactive</w:t>
            </w:r>
          </w:p>
        </w:tc>
        <w:tc>
          <w:tcPr>
            <w:tcW w:type="dxa" w:w="2232"/>
          </w:tcPr>
          <w:p>
            <w:r/>
            <w:r>
              <w:rPr>
                <w:rFonts w:ascii="Arial" w:hAnsi="Arial"/>
                <w:b w:val="0"/>
                <w:sz w:val="16"/>
              </w:rPr>
              <w:t>Basic, siloed</w:t>
            </w:r>
          </w:p>
        </w:tc>
        <w:tc>
          <w:tcPr>
            <w:tcW w:type="dxa" w:w="2232"/>
          </w:tcPr>
          <w:p>
            <w:r/>
            <w:r>
              <w:rPr>
                <w:rFonts w:ascii="Arial" w:hAnsi="Arial"/>
                <w:b w:val="0"/>
                <w:sz w:val="16"/>
              </w:rPr>
              <w:t>Standardised &amp; governed</w:t>
            </w:r>
          </w:p>
        </w:tc>
        <w:tc>
          <w:tcPr>
            <w:tcW w:type="dxa" w:w="2232"/>
          </w:tcPr>
          <w:p>
            <w:r/>
            <w:r>
              <w:rPr>
                <w:rFonts w:ascii="Arial" w:hAnsi="Arial"/>
                <w:b w:val="0"/>
                <w:sz w:val="16"/>
              </w:rPr>
              <w:t>Integrated &amp; quantified</w:t>
            </w:r>
          </w:p>
        </w:tc>
        <w:tc>
          <w:tcPr>
            <w:tcW w:type="dxa" w:w="2232"/>
          </w:tcPr>
          <w:p>
            <w:r/>
            <w:r>
              <w:rPr>
                <w:rFonts w:ascii="Arial" w:hAnsi="Arial"/>
                <w:b w:val="0"/>
                <w:sz w:val="16"/>
              </w:rPr>
              <w:t>Predictive &amp; embedded</w:t>
            </w:r>
          </w:p>
        </w:tc>
      </w:tr>
    </w:tbl>
    <w:p>
      <w:pPr>
        <w:pStyle w:val="Heading1"/>
      </w:pPr>
      <w:r>
        <w:t>2. Templates</w:t>
      </w:r>
    </w:p>
    <w:p>
      <w:pPr>
        <w:pStyle w:val="Heading2"/>
      </w:pPr>
      <w:r>
        <w:t>2.1 Risk governance RACI</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736"/>
            <w:shd w:val="clear" w:fill="1B4D89"/>
          </w:tcPr>
          <w:p>
            <w:r/>
            <w:r>
              <w:rPr>
                <w:rFonts w:ascii="Arial" w:hAnsi="Arial"/>
                <w:b/>
                <w:color w:val="FFFFFF"/>
                <w:sz w:val="16"/>
              </w:rPr>
              <w:t>Activity</w:t>
            </w:r>
          </w:p>
        </w:tc>
        <w:tc>
          <w:tcPr>
            <w:tcW w:type="dxa" w:w="2160"/>
            <w:shd w:val="clear" w:fill="1B4D89"/>
          </w:tcPr>
          <w:p>
            <w:r/>
            <w:r>
              <w:rPr>
                <w:rFonts w:ascii="Arial" w:hAnsi="Arial"/>
                <w:b/>
                <w:color w:val="FFFFFF"/>
                <w:sz w:val="16"/>
              </w:rPr>
              <w:t>Responsible</w:t>
            </w:r>
          </w:p>
        </w:tc>
        <w:tc>
          <w:tcPr>
            <w:tcW w:type="dxa" w:w="2160"/>
            <w:shd w:val="clear" w:fill="1B4D89"/>
          </w:tcPr>
          <w:p>
            <w:r/>
            <w:r>
              <w:rPr>
                <w:rFonts w:ascii="Arial" w:hAnsi="Arial"/>
                <w:b/>
                <w:color w:val="FFFFFF"/>
                <w:sz w:val="16"/>
              </w:rPr>
              <w:t>Accountable</w:t>
            </w:r>
          </w:p>
        </w:tc>
        <w:tc>
          <w:tcPr>
            <w:tcW w:type="dxa" w:w="2160"/>
            <w:shd w:val="clear" w:fill="1B4D89"/>
          </w:tcPr>
          <w:p>
            <w:r/>
            <w:r>
              <w:rPr>
                <w:rFonts w:ascii="Arial" w:hAnsi="Arial"/>
                <w:b/>
                <w:color w:val="FFFFFF"/>
                <w:sz w:val="16"/>
              </w:rPr>
              <w:t>Consulted</w:t>
            </w:r>
          </w:p>
        </w:tc>
        <w:tc>
          <w:tcPr>
            <w:tcW w:type="dxa" w:w="2304"/>
            <w:shd w:val="clear" w:fill="1B4D89"/>
          </w:tcPr>
          <w:p>
            <w:r/>
            <w:r>
              <w:rPr>
                <w:rFonts w:ascii="Arial" w:hAnsi="Arial"/>
                <w:b/>
                <w:color w:val="FFFFFF"/>
                <w:sz w:val="16"/>
              </w:rPr>
              <w:t>Informed</w:t>
            </w:r>
          </w:p>
        </w:tc>
      </w:tr>
      <w:tr>
        <w:tc>
          <w:tcPr>
            <w:tcW w:type="dxa" w:w="2736"/>
          </w:tcPr>
          <w:p>
            <w:r/>
            <w:r>
              <w:rPr>
                <w:rFonts w:ascii="Arial" w:hAnsi="Arial"/>
                <w:b w:val="0"/>
                <w:sz w:val="16"/>
              </w:rPr>
              <w:t>Set risk appetite</w:t>
            </w:r>
          </w:p>
        </w:tc>
        <w:tc>
          <w:tcPr>
            <w:tcW w:type="dxa" w:w="2160"/>
          </w:tcPr>
          <w:p>
            <w:r/>
            <w:r>
              <w:rPr>
                <w:rFonts w:ascii="Arial" w:hAnsi="Arial"/>
                <w:b w:val="0"/>
                <w:sz w:val="16"/>
              </w:rPr>
              <w:t>CRO</w:t>
            </w:r>
          </w:p>
        </w:tc>
        <w:tc>
          <w:tcPr>
            <w:tcW w:type="dxa" w:w="2160"/>
          </w:tcPr>
          <w:p>
            <w:r/>
            <w:r>
              <w:rPr>
                <w:rFonts w:ascii="Arial" w:hAnsi="Arial"/>
                <w:b w:val="0"/>
                <w:sz w:val="16"/>
              </w:rPr>
              <w:t>Board</w:t>
            </w:r>
          </w:p>
        </w:tc>
        <w:tc>
          <w:tcPr>
            <w:tcW w:type="dxa" w:w="2160"/>
          </w:tcPr>
          <w:p>
            <w:r/>
            <w:r>
              <w:rPr>
                <w:rFonts w:ascii="Arial" w:hAnsi="Arial"/>
                <w:b w:val="0"/>
                <w:sz w:val="16"/>
              </w:rPr>
              <w:t>Exec</w:t>
            </w:r>
          </w:p>
        </w:tc>
        <w:tc>
          <w:tcPr>
            <w:tcW w:type="dxa" w:w="2304"/>
          </w:tcPr>
          <w:p>
            <w:r/>
            <w:r>
              <w:rPr>
                <w:rFonts w:ascii="Arial" w:hAnsi="Arial"/>
                <w:b w:val="0"/>
                <w:sz w:val="16"/>
              </w:rPr>
              <w:t>All staff</w:t>
            </w:r>
          </w:p>
        </w:tc>
      </w:tr>
      <w:tr>
        <w:tc>
          <w:tcPr>
            <w:tcW w:type="dxa" w:w="2736"/>
            <w:shd w:val="clear" w:fill="F4F7FB"/>
          </w:tcPr>
          <w:p>
            <w:r/>
            <w:r>
              <w:rPr>
                <w:rFonts w:ascii="Arial" w:hAnsi="Arial"/>
                <w:b w:val="0"/>
                <w:sz w:val="16"/>
              </w:rPr>
              <w:t>Maintain risk register</w:t>
            </w:r>
          </w:p>
        </w:tc>
        <w:tc>
          <w:tcPr>
            <w:tcW w:type="dxa" w:w="2160"/>
            <w:shd w:val="clear" w:fill="F4F7FB"/>
          </w:tcPr>
          <w:p>
            <w:r/>
            <w:r>
              <w:rPr>
                <w:rFonts w:ascii="Arial" w:hAnsi="Arial"/>
                <w:b w:val="0"/>
                <w:sz w:val="16"/>
              </w:rPr>
              <w:t>Risk owners</w:t>
            </w:r>
          </w:p>
        </w:tc>
        <w:tc>
          <w:tcPr>
            <w:tcW w:type="dxa" w:w="2160"/>
            <w:shd w:val="clear" w:fill="F4F7FB"/>
          </w:tcPr>
          <w:p>
            <w:r/>
            <w:r>
              <w:rPr>
                <w:rFonts w:ascii="Arial" w:hAnsi="Arial"/>
                <w:b w:val="0"/>
                <w:sz w:val="16"/>
              </w:rPr>
              <w:t>CRO</w:t>
            </w:r>
          </w:p>
        </w:tc>
        <w:tc>
          <w:tcPr>
            <w:tcW w:type="dxa" w:w="2160"/>
            <w:shd w:val="clear" w:fill="F4F7FB"/>
          </w:tcPr>
          <w:p>
            <w:r/>
            <w:r>
              <w:rPr>
                <w:rFonts w:ascii="Arial" w:hAnsi="Arial"/>
                <w:b w:val="0"/>
                <w:sz w:val="16"/>
              </w:rPr>
              <w:t>2nd line</w:t>
            </w:r>
          </w:p>
        </w:tc>
        <w:tc>
          <w:tcPr>
            <w:tcW w:type="dxa" w:w="2304"/>
            <w:shd w:val="clear" w:fill="F4F7FB"/>
          </w:tcPr>
          <w:p>
            <w:r/>
            <w:r>
              <w:rPr>
                <w:rFonts w:ascii="Arial" w:hAnsi="Arial"/>
                <w:b w:val="0"/>
                <w:sz w:val="16"/>
              </w:rPr>
              <w:t>Risk Committee</w:t>
            </w:r>
          </w:p>
        </w:tc>
      </w:tr>
      <w:tr>
        <w:tc>
          <w:tcPr>
            <w:tcW w:type="dxa" w:w="2736"/>
          </w:tcPr>
          <w:p>
            <w:r/>
            <w:r>
              <w:rPr>
                <w:rFonts w:ascii="Arial" w:hAnsi="Arial"/>
                <w:b w:val="0"/>
                <w:sz w:val="16"/>
              </w:rPr>
              <w:t>Approve risk policy</w:t>
            </w:r>
          </w:p>
        </w:tc>
        <w:tc>
          <w:tcPr>
            <w:tcW w:type="dxa" w:w="2160"/>
          </w:tcPr>
          <w:p>
            <w:r/>
            <w:r>
              <w:rPr>
                <w:rFonts w:ascii="Arial" w:hAnsi="Arial"/>
                <w:b w:val="0"/>
                <w:sz w:val="16"/>
              </w:rPr>
              <w:t>CRO</w:t>
            </w:r>
          </w:p>
        </w:tc>
        <w:tc>
          <w:tcPr>
            <w:tcW w:type="dxa" w:w="2160"/>
          </w:tcPr>
          <w:p>
            <w:r/>
            <w:r>
              <w:rPr>
                <w:rFonts w:ascii="Arial" w:hAnsi="Arial"/>
                <w:b w:val="0"/>
                <w:sz w:val="16"/>
              </w:rPr>
              <w:t>Board</w:t>
            </w:r>
          </w:p>
        </w:tc>
        <w:tc>
          <w:tcPr>
            <w:tcW w:type="dxa" w:w="2160"/>
          </w:tcPr>
          <w:p>
            <w:r/>
            <w:r>
              <w:rPr>
                <w:rFonts w:ascii="Arial" w:hAnsi="Arial"/>
                <w:b w:val="0"/>
                <w:sz w:val="16"/>
              </w:rPr>
              <w:t>Risk Committee</w:t>
            </w:r>
          </w:p>
        </w:tc>
        <w:tc>
          <w:tcPr>
            <w:tcW w:type="dxa" w:w="2304"/>
          </w:tcPr>
          <w:p>
            <w:r/>
            <w:r>
              <w:rPr>
                <w:rFonts w:ascii="Arial" w:hAnsi="Arial"/>
                <w:b w:val="0"/>
                <w:sz w:val="16"/>
              </w:rPr>
              <w:t>Management</w:t>
            </w:r>
          </w:p>
        </w:tc>
      </w:tr>
      <w:tr>
        <w:tc>
          <w:tcPr>
            <w:tcW w:type="dxa" w:w="2736"/>
            <w:shd w:val="clear" w:fill="F4F7FB"/>
          </w:tcPr>
          <w:p>
            <w:r/>
            <w:r>
              <w:rPr>
                <w:rFonts w:ascii="Arial" w:hAnsi="Arial"/>
                <w:b w:val="0"/>
                <w:sz w:val="16"/>
              </w:rPr>
              <w:t>Test key controls</w:t>
            </w:r>
          </w:p>
        </w:tc>
        <w:tc>
          <w:tcPr>
            <w:tcW w:type="dxa" w:w="2160"/>
            <w:shd w:val="clear" w:fill="F4F7FB"/>
          </w:tcPr>
          <w:p>
            <w:r/>
            <w:r>
              <w:rPr>
                <w:rFonts w:ascii="Arial" w:hAnsi="Arial"/>
                <w:b w:val="0"/>
                <w:sz w:val="16"/>
              </w:rPr>
              <w:t>Control owners</w:t>
            </w:r>
          </w:p>
        </w:tc>
        <w:tc>
          <w:tcPr>
            <w:tcW w:type="dxa" w:w="2160"/>
            <w:shd w:val="clear" w:fill="F4F7FB"/>
          </w:tcPr>
          <w:p>
            <w:r/>
            <w:r>
              <w:rPr>
                <w:rFonts w:ascii="Arial" w:hAnsi="Arial"/>
                <w:b w:val="0"/>
                <w:sz w:val="16"/>
              </w:rPr>
              <w:t>CRO</w:t>
            </w:r>
          </w:p>
        </w:tc>
        <w:tc>
          <w:tcPr>
            <w:tcW w:type="dxa" w:w="2160"/>
            <w:shd w:val="clear" w:fill="F4F7FB"/>
          </w:tcPr>
          <w:p>
            <w:r/>
            <w:r>
              <w:rPr>
                <w:rFonts w:ascii="Arial" w:hAnsi="Arial"/>
                <w:b w:val="0"/>
                <w:sz w:val="16"/>
              </w:rPr>
              <w:t>Internal Audit</w:t>
            </w:r>
          </w:p>
        </w:tc>
        <w:tc>
          <w:tcPr>
            <w:tcW w:type="dxa" w:w="2304"/>
            <w:shd w:val="clear" w:fill="F4F7FB"/>
          </w:tcPr>
          <w:p>
            <w:r/>
            <w:r>
              <w:rPr>
                <w:rFonts w:ascii="Arial" w:hAnsi="Arial"/>
                <w:b w:val="0"/>
                <w:sz w:val="16"/>
              </w:rPr>
              <w:t>Risk Committee</w:t>
            </w:r>
          </w:p>
        </w:tc>
      </w:tr>
      <w:tr>
        <w:tc>
          <w:tcPr>
            <w:tcW w:type="dxa" w:w="2736"/>
          </w:tcPr>
          <w:p>
            <w:r/>
            <w:r>
              <w:rPr>
                <w:rFonts w:ascii="Arial" w:hAnsi="Arial"/>
                <w:b w:val="0"/>
                <w:sz w:val="16"/>
              </w:rPr>
              <w:t>Independent assurance</w:t>
            </w:r>
          </w:p>
        </w:tc>
        <w:tc>
          <w:tcPr>
            <w:tcW w:type="dxa" w:w="2160"/>
          </w:tcPr>
          <w:p>
            <w:r/>
            <w:r>
              <w:rPr>
                <w:rFonts w:ascii="Arial" w:hAnsi="Arial"/>
                <w:b w:val="0"/>
                <w:sz w:val="16"/>
              </w:rPr>
              <w:t>Internal Audit</w:t>
            </w:r>
          </w:p>
        </w:tc>
        <w:tc>
          <w:tcPr>
            <w:tcW w:type="dxa" w:w="2160"/>
          </w:tcPr>
          <w:p>
            <w:r/>
            <w:r>
              <w:rPr>
                <w:rFonts w:ascii="Arial" w:hAnsi="Arial"/>
                <w:b w:val="0"/>
                <w:sz w:val="16"/>
              </w:rPr>
              <w:t>Audit Committee</w:t>
            </w:r>
          </w:p>
        </w:tc>
        <w:tc>
          <w:tcPr>
            <w:tcW w:type="dxa" w:w="2160"/>
          </w:tcPr>
          <w:p>
            <w:r/>
            <w:r>
              <w:rPr>
                <w:rFonts w:ascii="Arial" w:hAnsi="Arial"/>
                <w:b w:val="0"/>
                <w:sz w:val="16"/>
              </w:rPr>
              <w:t>CRO</w:t>
            </w:r>
          </w:p>
        </w:tc>
        <w:tc>
          <w:tcPr>
            <w:tcW w:type="dxa" w:w="2304"/>
          </w:tcPr>
          <w:p>
            <w:r/>
            <w:r>
              <w:rPr>
                <w:rFonts w:ascii="Arial" w:hAnsi="Arial"/>
                <w:b w:val="0"/>
                <w:sz w:val="16"/>
              </w:rPr>
              <w:t>Board</w:t>
            </w:r>
          </w:p>
        </w:tc>
      </w:tr>
      <w:tr>
        <w:tc>
          <w:tcPr>
            <w:tcW w:type="dxa" w:w="2736"/>
            <w:shd w:val="clear" w:fill="F4F7FB"/>
          </w:tcPr>
          <w:p>
            <w:r/>
            <w:r>
              <w:rPr>
                <w:rFonts w:ascii="Arial" w:hAnsi="Arial"/>
                <w:b w:val="0"/>
                <w:sz w:val="16"/>
              </w:rPr>
              <w:t>Escalate breaches</w:t>
            </w:r>
          </w:p>
        </w:tc>
        <w:tc>
          <w:tcPr>
            <w:tcW w:type="dxa" w:w="2160"/>
            <w:shd w:val="clear" w:fill="F4F7FB"/>
          </w:tcPr>
          <w:p>
            <w:r/>
            <w:r>
              <w:rPr>
                <w:rFonts w:ascii="Arial" w:hAnsi="Arial"/>
                <w:b w:val="0"/>
                <w:sz w:val="16"/>
              </w:rPr>
              <w:t>Risk owners</w:t>
            </w:r>
          </w:p>
        </w:tc>
        <w:tc>
          <w:tcPr>
            <w:tcW w:type="dxa" w:w="2160"/>
            <w:shd w:val="clear" w:fill="F4F7FB"/>
          </w:tcPr>
          <w:p>
            <w:r/>
            <w:r>
              <w:rPr>
                <w:rFonts w:ascii="Arial" w:hAnsi="Arial"/>
                <w:b w:val="0"/>
                <w:sz w:val="16"/>
              </w:rPr>
              <w:t>CRO</w:t>
            </w:r>
          </w:p>
        </w:tc>
        <w:tc>
          <w:tcPr>
            <w:tcW w:type="dxa" w:w="2160"/>
            <w:shd w:val="clear" w:fill="F4F7FB"/>
          </w:tcPr>
          <w:p>
            <w:r/>
            <w:r>
              <w:rPr>
                <w:rFonts w:ascii="Arial" w:hAnsi="Arial"/>
                <w:b w:val="0"/>
                <w:sz w:val="16"/>
              </w:rPr>
              <w:t>Risk Committee</w:t>
            </w:r>
          </w:p>
        </w:tc>
        <w:tc>
          <w:tcPr>
            <w:tcW w:type="dxa" w:w="2304"/>
            <w:shd w:val="clear" w:fill="F4F7FB"/>
          </w:tcPr>
          <w:p>
            <w:r/>
            <w:r>
              <w:rPr>
                <w:rFonts w:ascii="Arial" w:hAnsi="Arial"/>
                <w:b w:val="0"/>
                <w:sz w:val="16"/>
              </w:rPr>
              <w:t>Board</w:t>
            </w:r>
          </w:p>
        </w:tc>
      </w:tr>
    </w:tbl>
    <w:p>
      <w:pPr>
        <w:pStyle w:val="Heading2"/>
      </w:pPr>
      <w:r>
        <w:t>2.2 Risk policy hierarchy</w:t>
      </w:r>
    </w:p>
    <w:p>
      <w:pPr>
        <w:pStyle w:val="ListBullet"/>
      </w:pPr>
      <w:r>
        <w:rPr>
          <w:sz w:val="19"/>
        </w:rPr>
        <w:t>Board Risk Charter (overarching mandate)</w:t>
      </w:r>
    </w:p>
    <w:p>
      <w:pPr>
        <w:pStyle w:val="ListBullet"/>
      </w:pPr>
      <w:r>
        <w:rPr>
          <w:sz w:val="19"/>
        </w:rPr>
        <w:t>Risk Management Policy (framework &amp; appetite)</w:t>
      </w:r>
    </w:p>
    <w:p>
      <w:pPr>
        <w:pStyle w:val="ListBullet"/>
      </w:pPr>
      <w:r>
        <w:rPr>
          <w:sz w:val="19"/>
        </w:rPr>
        <w:t>Domain policies (credit, cyber, fraud, BCM, etc.)</w:t>
      </w:r>
    </w:p>
    <w:p>
      <w:pPr>
        <w:pStyle w:val="ListBullet"/>
      </w:pPr>
      <w:r>
        <w:rPr>
          <w:sz w:val="19"/>
        </w:rPr>
        <w:t>Procedures &amp; standards (operational detail)</w:t>
      </w:r>
    </w:p>
    <w:p>
      <w:pPr>
        <w:pStyle w:val="ListBullet"/>
      </w:pPr>
      <w:r>
        <w:rPr>
          <w:sz w:val="19"/>
        </w:rPr>
        <w:t>Registers, KRIs and reporting (execution)</w:t>
      </w:r>
    </w:p>
    <w:p>
      <w:pPr>
        <w:pStyle w:val="Heading2"/>
      </w:pPr>
      <w:r>
        <w:t>2.3 Delegated authority &amp; escalation matrix</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456"/>
            <w:shd w:val="clear" w:fill="1B4D89"/>
          </w:tcPr>
          <w:p>
            <w:r/>
            <w:r>
              <w:rPr>
                <w:rFonts w:ascii="Arial" w:hAnsi="Arial"/>
                <w:b/>
                <w:color w:val="FFFFFF"/>
                <w:sz w:val="16"/>
              </w:rPr>
              <w:t>Decision / event</w:t>
            </w:r>
          </w:p>
        </w:tc>
        <w:tc>
          <w:tcPr>
            <w:tcW w:type="dxa" w:w="2016"/>
            <w:shd w:val="clear" w:fill="1B4D89"/>
          </w:tcPr>
          <w:p>
            <w:r/>
            <w:r>
              <w:rPr>
                <w:rFonts w:ascii="Arial" w:hAnsi="Arial"/>
                <w:b/>
                <w:color w:val="FFFFFF"/>
                <w:sz w:val="16"/>
              </w:rPr>
              <w:t>Authority</w:t>
            </w:r>
          </w:p>
        </w:tc>
        <w:tc>
          <w:tcPr>
            <w:tcW w:type="dxa" w:w="2448"/>
            <w:shd w:val="clear" w:fill="1B4D89"/>
          </w:tcPr>
          <w:p>
            <w:r/>
            <w:r>
              <w:rPr>
                <w:rFonts w:ascii="Arial" w:hAnsi="Arial"/>
                <w:b/>
                <w:color w:val="FFFFFF"/>
                <w:sz w:val="16"/>
              </w:rPr>
              <w:t>Escalate to</w:t>
            </w:r>
          </w:p>
        </w:tc>
        <w:tc>
          <w:tcPr>
            <w:tcW w:type="dxa" w:w="2160"/>
            <w:shd w:val="clear" w:fill="1B4D89"/>
          </w:tcPr>
          <w:p>
            <w:r/>
            <w:r>
              <w:rPr>
                <w:rFonts w:ascii="Arial" w:hAnsi="Arial"/>
                <w:b/>
                <w:color w:val="FFFFFF"/>
                <w:sz w:val="16"/>
              </w:rPr>
              <w:t>Trigger</w:t>
            </w:r>
          </w:p>
        </w:tc>
      </w:tr>
      <w:tr>
        <w:tc>
          <w:tcPr>
            <w:tcW w:type="dxa" w:w="3456"/>
          </w:tcPr>
          <w:p>
            <w:r/>
            <w:r>
              <w:rPr>
                <w:rFonts w:ascii="Arial" w:hAnsi="Arial"/>
                <w:b w:val="0"/>
                <w:sz w:val="16"/>
              </w:rPr>
              <w:t>Risk within appetite</w:t>
            </w:r>
          </w:p>
        </w:tc>
        <w:tc>
          <w:tcPr>
            <w:tcW w:type="dxa" w:w="2016"/>
          </w:tcPr>
          <w:p>
            <w:r/>
            <w:r>
              <w:rPr>
                <w:rFonts w:ascii="Arial" w:hAnsi="Arial"/>
                <w:b w:val="0"/>
                <w:sz w:val="16"/>
              </w:rPr>
              <w:t>Risk owner</w:t>
            </w:r>
          </w:p>
        </w:tc>
        <w:tc>
          <w:tcPr>
            <w:tcW w:type="dxa" w:w="2448"/>
          </w:tcPr>
          <w:p>
            <w:r/>
            <w:r>
              <w:rPr>
                <w:rFonts w:ascii="Arial" w:hAnsi="Arial"/>
                <w:b w:val="0"/>
                <w:sz w:val="16"/>
              </w:rPr>
              <w:t>—</w:t>
            </w:r>
          </w:p>
        </w:tc>
        <w:tc>
          <w:tcPr>
            <w:tcW w:type="dxa" w:w="2160"/>
          </w:tcPr>
          <w:p>
            <w:r/>
            <w:r>
              <w:rPr>
                <w:rFonts w:ascii="Arial" w:hAnsi="Arial"/>
                <w:b w:val="0"/>
                <w:sz w:val="16"/>
              </w:rPr>
              <w:t>Routine</w:t>
            </w:r>
          </w:p>
        </w:tc>
      </w:tr>
      <w:tr>
        <w:tc>
          <w:tcPr>
            <w:tcW w:type="dxa" w:w="3456"/>
            <w:shd w:val="clear" w:fill="F4F7FB"/>
          </w:tcPr>
          <w:p>
            <w:r/>
            <w:r>
              <w:rPr>
                <w:rFonts w:ascii="Arial" w:hAnsi="Arial"/>
                <w:b w:val="0"/>
                <w:sz w:val="16"/>
              </w:rPr>
              <w:t>Approaching limit (≥90%)</w:t>
            </w:r>
          </w:p>
        </w:tc>
        <w:tc>
          <w:tcPr>
            <w:tcW w:type="dxa" w:w="2016"/>
            <w:shd w:val="clear" w:fill="F4F7FB"/>
          </w:tcPr>
          <w:p>
            <w:r/>
            <w:r>
              <w:rPr>
                <w:rFonts w:ascii="Arial" w:hAnsi="Arial"/>
                <w:b w:val="0"/>
                <w:sz w:val="16"/>
              </w:rPr>
              <w:t>Function head</w:t>
            </w:r>
          </w:p>
        </w:tc>
        <w:tc>
          <w:tcPr>
            <w:tcW w:type="dxa" w:w="2448"/>
            <w:shd w:val="clear" w:fill="F4F7FB"/>
          </w:tcPr>
          <w:p>
            <w:r/>
            <w:r>
              <w:rPr>
                <w:rFonts w:ascii="Arial" w:hAnsi="Arial"/>
                <w:b w:val="0"/>
                <w:sz w:val="16"/>
              </w:rPr>
              <w:t>CRO</w:t>
            </w:r>
          </w:p>
        </w:tc>
        <w:tc>
          <w:tcPr>
            <w:tcW w:type="dxa" w:w="2160"/>
            <w:shd w:val="clear" w:fill="F4F7FB"/>
          </w:tcPr>
          <w:p>
            <w:r/>
            <w:r>
              <w:rPr>
                <w:rFonts w:ascii="Arial" w:hAnsi="Arial"/>
                <w:b w:val="0"/>
                <w:sz w:val="16"/>
              </w:rPr>
              <w:t>KRI amber</w:t>
            </w:r>
          </w:p>
        </w:tc>
      </w:tr>
      <w:tr>
        <w:tc>
          <w:tcPr>
            <w:tcW w:type="dxa" w:w="3456"/>
          </w:tcPr>
          <w:p>
            <w:r/>
            <w:r>
              <w:rPr>
                <w:rFonts w:ascii="Arial" w:hAnsi="Arial"/>
                <w:b w:val="0"/>
                <w:sz w:val="16"/>
              </w:rPr>
              <w:t>Limit breach</w:t>
            </w:r>
          </w:p>
        </w:tc>
        <w:tc>
          <w:tcPr>
            <w:tcW w:type="dxa" w:w="2016"/>
          </w:tcPr>
          <w:p>
            <w:r/>
            <w:r>
              <w:rPr>
                <w:rFonts w:ascii="Arial" w:hAnsi="Arial"/>
                <w:b w:val="0"/>
                <w:sz w:val="16"/>
              </w:rPr>
              <w:t>CRO</w:t>
            </w:r>
          </w:p>
        </w:tc>
        <w:tc>
          <w:tcPr>
            <w:tcW w:type="dxa" w:w="2448"/>
          </w:tcPr>
          <w:p>
            <w:r/>
            <w:r>
              <w:rPr>
                <w:rFonts w:ascii="Arial" w:hAnsi="Arial"/>
                <w:b w:val="0"/>
                <w:sz w:val="16"/>
              </w:rPr>
              <w:t>Risk Committee</w:t>
            </w:r>
          </w:p>
        </w:tc>
        <w:tc>
          <w:tcPr>
            <w:tcW w:type="dxa" w:w="2160"/>
          </w:tcPr>
          <w:p>
            <w:r/>
            <w:r>
              <w:rPr>
                <w:rFonts w:ascii="Arial" w:hAnsi="Arial"/>
                <w:b w:val="0"/>
                <w:sz w:val="16"/>
              </w:rPr>
              <w:t>KRI red</w:t>
            </w:r>
          </w:p>
        </w:tc>
      </w:tr>
      <w:tr>
        <w:tc>
          <w:tcPr>
            <w:tcW w:type="dxa" w:w="3456"/>
            <w:shd w:val="clear" w:fill="F4F7FB"/>
          </w:tcPr>
          <w:p>
            <w:r/>
            <w:r>
              <w:rPr>
                <w:rFonts w:ascii="Arial" w:hAnsi="Arial"/>
                <w:b w:val="0"/>
                <w:sz w:val="16"/>
              </w:rPr>
              <w:t>Material/critical risk crystallises</w:t>
            </w:r>
          </w:p>
        </w:tc>
        <w:tc>
          <w:tcPr>
            <w:tcW w:type="dxa" w:w="2016"/>
            <w:shd w:val="clear" w:fill="F4F7FB"/>
          </w:tcPr>
          <w:p>
            <w:r/>
            <w:r>
              <w:rPr>
                <w:rFonts w:ascii="Arial" w:hAnsi="Arial"/>
                <w:b w:val="0"/>
                <w:sz w:val="16"/>
              </w:rPr>
              <w:t>CRO</w:t>
            </w:r>
          </w:p>
        </w:tc>
        <w:tc>
          <w:tcPr>
            <w:tcW w:type="dxa" w:w="2448"/>
            <w:shd w:val="clear" w:fill="F4F7FB"/>
          </w:tcPr>
          <w:p>
            <w:r/>
            <w:r>
              <w:rPr>
                <w:rFonts w:ascii="Arial" w:hAnsi="Arial"/>
                <w:b w:val="0"/>
                <w:sz w:val="16"/>
              </w:rPr>
              <w:t>Board / Crisis team</w:t>
            </w:r>
          </w:p>
        </w:tc>
        <w:tc>
          <w:tcPr>
            <w:tcW w:type="dxa" w:w="2160"/>
            <w:shd w:val="clear" w:fill="F4F7FB"/>
          </w:tcPr>
          <w:p>
            <w:r/>
            <w:r>
              <w:rPr>
                <w:rFonts w:ascii="Arial" w:hAnsi="Arial"/>
                <w:b w:val="0"/>
                <w:sz w:val="16"/>
              </w:rPr>
              <w:t>Severity High+</w:t>
            </w:r>
          </w:p>
        </w:tc>
      </w:tr>
    </w:tbl>
    <w:p>
      <w:pPr>
        <w:pStyle w:val="Heading1"/>
      </w:pPr>
      <w:r>
        <w:t>3. Registers</w:t>
      </w:r>
    </w:p>
    <w:p>
      <w:r>
        <w:rPr>
          <w:b w:val="0"/>
          <w:i w:val="0"/>
          <w:sz w:val="20"/>
        </w:rPr>
        <w:t>Supporting working files: Enterprise Risk Register and Incident Register (XLSX). Use the Assurance Map below to track coverage.</w:t>
      </w:r>
    </w:p>
    <w:p>
      <w:pPr>
        <w:pStyle w:val="Heading2"/>
      </w:pPr>
      <w:r>
        <w:t>Assurance map (template)</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160"/>
            <w:shd w:val="clear" w:fill="1B4D89"/>
          </w:tcPr>
          <w:p>
            <w:r/>
            <w:r>
              <w:rPr>
                <w:rFonts w:ascii="Arial" w:hAnsi="Arial"/>
                <w:b/>
                <w:color w:val="FFFFFF"/>
                <w:sz w:val="16"/>
              </w:rPr>
              <w:t>Top risk</w:t>
            </w:r>
          </w:p>
        </w:tc>
        <w:tc>
          <w:tcPr>
            <w:tcW w:type="dxa" w:w="2448"/>
            <w:shd w:val="clear" w:fill="1B4D89"/>
          </w:tcPr>
          <w:p>
            <w:r/>
            <w:r>
              <w:rPr>
                <w:rFonts w:ascii="Arial" w:hAnsi="Arial"/>
                <w:b/>
                <w:color w:val="FFFFFF"/>
                <w:sz w:val="16"/>
              </w:rPr>
              <w:t>1st-line control</w:t>
            </w:r>
          </w:p>
        </w:tc>
        <w:tc>
          <w:tcPr>
            <w:tcW w:type="dxa" w:w="2448"/>
            <w:shd w:val="clear" w:fill="1B4D89"/>
          </w:tcPr>
          <w:p>
            <w:r/>
            <w:r>
              <w:rPr>
                <w:rFonts w:ascii="Arial" w:hAnsi="Arial"/>
                <w:b/>
                <w:color w:val="FFFFFF"/>
                <w:sz w:val="16"/>
              </w:rPr>
              <w:t>2nd-line oversight</w:t>
            </w:r>
          </w:p>
        </w:tc>
        <w:tc>
          <w:tcPr>
            <w:tcW w:type="dxa" w:w="2448"/>
            <w:shd w:val="clear" w:fill="1B4D89"/>
          </w:tcPr>
          <w:p>
            <w:r/>
            <w:r>
              <w:rPr>
                <w:rFonts w:ascii="Arial" w:hAnsi="Arial"/>
                <w:b/>
                <w:color w:val="FFFFFF"/>
                <w:sz w:val="16"/>
              </w:rPr>
              <w:t>3rd-line assurance</w:t>
            </w:r>
          </w:p>
        </w:tc>
        <w:tc>
          <w:tcPr>
            <w:tcW w:type="dxa" w:w="1296"/>
            <w:shd w:val="clear" w:fill="1B4D89"/>
          </w:tcPr>
          <w:p>
            <w:r/>
            <w:r>
              <w:rPr>
                <w:rFonts w:ascii="Arial" w:hAnsi="Arial"/>
                <w:b/>
                <w:color w:val="FFFFFF"/>
                <w:sz w:val="16"/>
              </w:rPr>
              <w:t>Gap?</w:t>
            </w:r>
          </w:p>
        </w:tc>
      </w:tr>
      <w:tr>
        <w:tc>
          <w:tcPr>
            <w:tcW w:type="dxa" w:w="2160"/>
          </w:tcPr>
          <w:p>
            <w:r/>
            <w:r>
              <w:rPr>
                <w:rFonts w:ascii="Arial" w:hAnsi="Arial"/>
                <w:b w:val="0"/>
                <w:sz w:val="16"/>
              </w:rPr>
              <w:t>FX risk</w:t>
            </w:r>
          </w:p>
        </w:tc>
        <w:tc>
          <w:tcPr>
            <w:tcW w:type="dxa" w:w="2448"/>
          </w:tcPr>
          <w:p>
            <w:r/>
            <w:r>
              <w:rPr>
                <w:rFonts w:ascii="Arial" w:hAnsi="Arial"/>
                <w:b w:val="0"/>
                <w:sz w:val="16"/>
              </w:rPr>
              <w:t>Hedging policy</w:t>
            </w:r>
          </w:p>
        </w:tc>
        <w:tc>
          <w:tcPr>
            <w:tcW w:type="dxa" w:w="2448"/>
          </w:tcPr>
          <w:p>
            <w:r/>
            <w:r>
              <w:rPr>
                <w:rFonts w:ascii="Arial" w:hAnsi="Arial"/>
                <w:b w:val="0"/>
                <w:sz w:val="16"/>
              </w:rPr>
              <w:t>Treasury risk review</w:t>
            </w:r>
          </w:p>
        </w:tc>
        <w:tc>
          <w:tcPr>
            <w:tcW w:type="dxa" w:w="2448"/>
          </w:tcPr>
          <w:p>
            <w:r/>
            <w:r>
              <w:rPr>
                <w:rFonts w:ascii="Arial" w:hAnsi="Arial"/>
                <w:b w:val="0"/>
                <w:sz w:val="16"/>
              </w:rPr>
              <w:t>Treasury audit</w:t>
            </w:r>
          </w:p>
        </w:tc>
        <w:tc>
          <w:tcPr>
            <w:tcW w:type="dxa" w:w="1296"/>
          </w:tcPr>
          <w:p>
            <w:r/>
            <w:r>
              <w:rPr>
                <w:rFonts w:ascii="Arial" w:hAnsi="Arial"/>
                <w:b w:val="0"/>
                <w:sz w:val="16"/>
              </w:rPr>
              <w:t>No</w:t>
            </w:r>
          </w:p>
        </w:tc>
      </w:tr>
      <w:tr>
        <w:tc>
          <w:tcPr>
            <w:tcW w:type="dxa" w:w="2160"/>
            <w:shd w:val="clear" w:fill="F4F7FB"/>
          </w:tcPr>
          <w:p>
            <w:r/>
            <w:r>
              <w:rPr>
                <w:rFonts w:ascii="Arial" w:hAnsi="Arial"/>
                <w:b w:val="0"/>
                <w:sz w:val="16"/>
              </w:rPr>
              <w:t>Cyber</w:t>
            </w:r>
          </w:p>
        </w:tc>
        <w:tc>
          <w:tcPr>
            <w:tcW w:type="dxa" w:w="2448"/>
            <w:shd w:val="clear" w:fill="F4F7FB"/>
          </w:tcPr>
          <w:p>
            <w:r/>
            <w:r>
              <w:rPr>
                <w:rFonts w:ascii="Arial" w:hAnsi="Arial"/>
                <w:b w:val="0"/>
                <w:sz w:val="16"/>
              </w:rPr>
              <w:t>Security controls</w:t>
            </w:r>
          </w:p>
        </w:tc>
        <w:tc>
          <w:tcPr>
            <w:tcW w:type="dxa" w:w="2448"/>
            <w:shd w:val="clear" w:fill="F4F7FB"/>
          </w:tcPr>
          <w:p>
            <w:r/>
            <w:r>
              <w:rPr>
                <w:rFonts w:ascii="Arial" w:hAnsi="Arial"/>
                <w:b w:val="0"/>
                <w:sz w:val="16"/>
              </w:rPr>
              <w:t>Cyber risk monitoring</w:t>
            </w:r>
          </w:p>
        </w:tc>
        <w:tc>
          <w:tcPr>
            <w:tcW w:type="dxa" w:w="2448"/>
            <w:shd w:val="clear" w:fill="F4F7FB"/>
          </w:tcPr>
          <w:p>
            <w:r/>
            <w:r>
              <w:rPr>
                <w:rFonts w:ascii="Arial" w:hAnsi="Arial"/>
                <w:b w:val="0"/>
                <w:sz w:val="16"/>
              </w:rPr>
              <w:t>Cyber audit (planned)</w:t>
            </w:r>
          </w:p>
        </w:tc>
        <w:tc>
          <w:tcPr>
            <w:tcW w:type="dxa" w:w="1296"/>
            <w:shd w:val="clear" w:fill="F4F7FB"/>
          </w:tcPr>
          <w:p>
            <w:r/>
            <w:r>
              <w:rPr>
                <w:rFonts w:ascii="Arial" w:hAnsi="Arial"/>
                <w:b w:val="0"/>
                <w:sz w:val="16"/>
              </w:rPr>
              <w:t>Yes</w:t>
            </w:r>
          </w:p>
        </w:tc>
      </w:tr>
      <w:tr>
        <w:tc>
          <w:tcPr>
            <w:tcW w:type="dxa" w:w="2160"/>
          </w:tcPr>
          <w:p>
            <w:r/>
            <w:r>
              <w:rPr>
                <w:rFonts w:ascii="Arial" w:hAnsi="Arial"/>
                <w:b w:val="0"/>
                <w:sz w:val="16"/>
              </w:rPr>
              <w:t>Fraud</w:t>
            </w:r>
          </w:p>
        </w:tc>
        <w:tc>
          <w:tcPr>
            <w:tcW w:type="dxa" w:w="2448"/>
          </w:tcPr>
          <w:p>
            <w:r/>
            <w:r>
              <w:rPr>
                <w:rFonts w:ascii="Arial" w:hAnsi="Arial"/>
                <w:b w:val="0"/>
                <w:sz w:val="16"/>
              </w:rPr>
              <w:t>Anti-fraud controls</w:t>
            </w:r>
          </w:p>
        </w:tc>
        <w:tc>
          <w:tcPr>
            <w:tcW w:type="dxa" w:w="2448"/>
          </w:tcPr>
          <w:p>
            <w:r/>
            <w:r>
              <w:rPr>
                <w:rFonts w:ascii="Arial" w:hAnsi="Arial"/>
                <w:b w:val="0"/>
                <w:sz w:val="16"/>
              </w:rPr>
              <w:t>Fraud monitoring</w:t>
            </w:r>
          </w:p>
        </w:tc>
        <w:tc>
          <w:tcPr>
            <w:tcW w:type="dxa" w:w="2448"/>
          </w:tcPr>
          <w:p>
            <w:r/>
            <w:r>
              <w:rPr>
                <w:rFonts w:ascii="Arial" w:hAnsi="Arial"/>
                <w:b w:val="0"/>
                <w:sz w:val="16"/>
              </w:rPr>
              <w:t>Forensic review</w:t>
            </w:r>
          </w:p>
        </w:tc>
        <w:tc>
          <w:tcPr>
            <w:tcW w:type="dxa" w:w="1296"/>
          </w:tcPr>
          <w:p>
            <w:r/>
            <w:r>
              <w:rPr>
                <w:rFonts w:ascii="Arial" w:hAnsi="Arial"/>
                <w:b w:val="0"/>
                <w:sz w:val="16"/>
              </w:rPr>
              <w:t>No</w:t>
            </w:r>
          </w:p>
        </w:tc>
      </w:tr>
    </w:tbl>
    <w:p>
      <w:pPr>
        <w:pStyle w:val="Heading1"/>
      </w:pPr>
      <w:r>
        <w:t>4. Checklists</w:t>
      </w:r>
    </w:p>
    <w:p>
      <w:pPr>
        <w:pStyle w:val="Heading2"/>
      </w:pPr>
      <w:r>
        <w:t>Governance health checklist</w:t>
      </w:r>
    </w:p>
    <w:p>
      <w:pPr>
        <w:ind w:left="288"/>
      </w:pPr>
      <w:r>
        <w:rPr>
          <w:sz w:val="19"/>
        </w:rPr>
        <w:t>☐  Board and committee risk mandates documented</w:t>
      </w:r>
    </w:p>
    <w:p>
      <w:pPr>
        <w:ind w:left="288"/>
      </w:pPr>
      <w:r>
        <w:rPr>
          <w:sz w:val="19"/>
        </w:rPr>
        <w:t>☐  Three lines clearly delineated with no gaps/overlaps</w:t>
      </w:r>
    </w:p>
    <w:p>
      <w:pPr>
        <w:ind w:left="288"/>
      </w:pPr>
      <w:r>
        <w:rPr>
          <w:sz w:val="19"/>
        </w:rPr>
        <w:t>☐  Delegated authorities and escalation paths defined</w:t>
      </w:r>
    </w:p>
    <w:p>
      <w:pPr>
        <w:ind w:left="288"/>
      </w:pPr>
      <w:r>
        <w:rPr>
          <w:sz w:val="19"/>
        </w:rPr>
        <w:t>☐  Risk policy hierarchy complete and current</w:t>
      </w:r>
    </w:p>
    <w:p>
      <w:pPr>
        <w:ind w:left="288"/>
      </w:pPr>
      <w:r>
        <w:rPr>
          <w:sz w:val="19"/>
        </w:rPr>
        <w:t>☐  Assurance activities mapped and coordinated</w:t>
      </w:r>
    </w:p>
    <w:p>
      <w:pPr>
        <w:ind w:left="288"/>
      </w:pPr>
      <w:r>
        <w:rPr>
          <w:sz w:val="19"/>
        </w:rPr>
        <w:t>☐  Committee composition and cadence appropriate</w:t>
      </w:r>
    </w:p>
    <w:p>
      <w:pPr>
        <w:ind w:left="288"/>
      </w:pPr>
      <w:r>
        <w:rPr>
          <w:sz w:val="19"/>
        </w:rPr>
        <w:t>☐  Conflicts of interest managed</w:t>
      </w:r>
    </w:p>
    <w:p>
      <w:pPr>
        <w:ind w:left="288"/>
      </w:pPr>
      <w:r>
        <w:rPr>
          <w:sz w:val="19"/>
        </w:rPr>
        <w:t>☐  Governance reporting reaches the board</w:t>
      </w:r>
    </w:p>
    <w:p>
      <w:pPr>
        <w:pStyle w:val="Heading2"/>
      </w:pPr>
      <w:r>
        <w:t>Governance Structure</w:t>
      </w:r>
    </w:p>
    <w:p>
      <w:r>
        <w:rPr>
          <w:b w:val="0"/>
          <w:i w:val="0"/>
          <w:sz w:val="20"/>
        </w:rPr>
        <w:t>Risk is governed through three lines of defence under board oversight:</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Layer</w:t>
            </w:r>
          </w:p>
        </w:tc>
        <w:tc>
          <w:tcPr>
            <w:tcW w:type="dxa" w:w="2448"/>
            <w:shd w:val="clear" w:fill="1B4D89"/>
          </w:tcPr>
          <w:p>
            <w:r/>
            <w:r>
              <w:rPr>
                <w:rFonts w:ascii="Arial" w:hAnsi="Arial"/>
                <w:b/>
                <w:color w:val="FFFFFF"/>
                <w:sz w:val="16"/>
              </w:rPr>
              <w:t>Role</w:t>
            </w:r>
          </w:p>
        </w:tc>
        <w:tc>
          <w:tcPr>
            <w:tcW w:type="dxa" w:w="4896"/>
            <w:shd w:val="clear" w:fill="1B4D89"/>
          </w:tcPr>
          <w:p>
            <w:r/>
            <w:r>
              <w:rPr>
                <w:rFonts w:ascii="Arial" w:hAnsi="Arial"/>
                <w:b/>
                <w:color w:val="FFFFFF"/>
                <w:sz w:val="16"/>
              </w:rPr>
              <w:t>Responsibility</w:t>
            </w:r>
          </w:p>
        </w:tc>
      </w:tr>
      <w:tr>
        <w:tc>
          <w:tcPr>
            <w:tcW w:type="dxa" w:w="2736"/>
          </w:tcPr>
          <w:p>
            <w:r/>
            <w:r>
              <w:rPr>
                <w:rFonts w:ascii="Arial" w:hAnsi="Arial"/>
                <w:b w:val="0"/>
                <w:sz w:val="16"/>
              </w:rPr>
              <w:t>Board</w:t>
            </w:r>
          </w:p>
        </w:tc>
        <w:tc>
          <w:tcPr>
            <w:tcW w:type="dxa" w:w="2448"/>
          </w:tcPr>
          <w:p>
            <w:r/>
            <w:r>
              <w:rPr>
                <w:rFonts w:ascii="Arial" w:hAnsi="Arial"/>
                <w:b w:val="0"/>
                <w:sz w:val="16"/>
              </w:rPr>
              <w:t>Oversight</w:t>
            </w:r>
          </w:p>
        </w:tc>
        <w:tc>
          <w:tcPr>
            <w:tcW w:type="dxa" w:w="4896"/>
          </w:tcPr>
          <w:p>
            <w:r/>
            <w:r>
              <w:rPr>
                <w:rFonts w:ascii="Arial" w:hAnsi="Arial"/>
                <w:b w:val="0"/>
                <w:sz w:val="16"/>
              </w:rPr>
              <w:t>Approves policy, appetite; oversees the risk profile</w:t>
            </w:r>
          </w:p>
        </w:tc>
      </w:tr>
      <w:tr>
        <w:tc>
          <w:tcPr>
            <w:tcW w:type="dxa" w:w="2736"/>
            <w:shd w:val="clear" w:fill="F4F7FB"/>
          </w:tcPr>
          <w:p>
            <w:r/>
            <w:r>
              <w:rPr>
                <w:rFonts w:ascii="Arial" w:hAnsi="Arial"/>
                <w:b w:val="0"/>
                <w:sz w:val="16"/>
              </w:rPr>
              <w:t>Risk / Audit Committee</w:t>
            </w:r>
          </w:p>
        </w:tc>
        <w:tc>
          <w:tcPr>
            <w:tcW w:type="dxa" w:w="2448"/>
            <w:shd w:val="clear" w:fill="F4F7FB"/>
          </w:tcPr>
          <w:p>
            <w:r/>
            <w:r>
              <w:rPr>
                <w:rFonts w:ascii="Arial" w:hAnsi="Arial"/>
                <w:b w:val="0"/>
                <w:sz w:val="16"/>
              </w:rPr>
              <w:t>Focused oversight</w:t>
            </w:r>
          </w:p>
        </w:tc>
        <w:tc>
          <w:tcPr>
            <w:tcW w:type="dxa" w:w="4896"/>
            <w:shd w:val="clear" w:fill="F4F7FB"/>
          </w:tcPr>
          <w:p>
            <w:r/>
            <w:r>
              <w:rPr>
                <w:rFonts w:ascii="Arial" w:hAnsi="Arial"/>
                <w:b w:val="0"/>
                <w:sz w:val="16"/>
              </w:rPr>
              <w:t>Reviews top risks, appetite, assurance</w:t>
            </w:r>
          </w:p>
        </w:tc>
      </w:tr>
      <w:tr>
        <w:tc>
          <w:tcPr>
            <w:tcW w:type="dxa" w:w="2736"/>
          </w:tcPr>
          <w:p>
            <w:r/>
            <w:r>
              <w:rPr>
                <w:rFonts w:ascii="Arial" w:hAnsi="Arial"/>
                <w:b w:val="0"/>
                <w:sz w:val="16"/>
              </w:rPr>
              <w:t>1st line — Management/owners</w:t>
            </w:r>
          </w:p>
        </w:tc>
        <w:tc>
          <w:tcPr>
            <w:tcW w:type="dxa" w:w="2448"/>
          </w:tcPr>
          <w:p>
            <w:r/>
            <w:r>
              <w:rPr>
                <w:rFonts w:ascii="Arial" w:hAnsi="Arial"/>
                <w:b w:val="0"/>
                <w:sz w:val="16"/>
              </w:rPr>
              <w:t>Own &amp; manage</w:t>
            </w:r>
          </w:p>
        </w:tc>
        <w:tc>
          <w:tcPr>
            <w:tcW w:type="dxa" w:w="4896"/>
          </w:tcPr>
          <w:p>
            <w:r/>
            <w:r>
              <w:rPr>
                <w:rFonts w:ascii="Arial" w:hAnsi="Arial"/>
                <w:b w:val="0"/>
                <w:sz w:val="16"/>
              </w:rPr>
              <w:t>Identify, assess, control and report risk in operations</w:t>
            </w:r>
          </w:p>
        </w:tc>
      </w:tr>
      <w:tr>
        <w:tc>
          <w:tcPr>
            <w:tcW w:type="dxa" w:w="2736"/>
            <w:shd w:val="clear" w:fill="F4F7FB"/>
          </w:tcPr>
          <w:p>
            <w:r/>
            <w:r>
              <w:rPr>
                <w:rFonts w:ascii="Arial" w:hAnsi="Arial"/>
                <w:b w:val="0"/>
                <w:sz w:val="16"/>
              </w:rPr>
              <w:t>2nd line — Risk/Compliance</w:t>
            </w:r>
          </w:p>
        </w:tc>
        <w:tc>
          <w:tcPr>
            <w:tcW w:type="dxa" w:w="2448"/>
            <w:shd w:val="clear" w:fill="F4F7FB"/>
          </w:tcPr>
          <w:p>
            <w:r/>
            <w:r>
              <w:rPr>
                <w:rFonts w:ascii="Arial" w:hAnsi="Arial"/>
                <w:b w:val="0"/>
                <w:sz w:val="16"/>
              </w:rPr>
              <w:t>Oversee &amp; challenge</w:t>
            </w:r>
          </w:p>
        </w:tc>
        <w:tc>
          <w:tcPr>
            <w:tcW w:type="dxa" w:w="4896"/>
            <w:shd w:val="clear" w:fill="F4F7FB"/>
          </w:tcPr>
          <w:p>
            <w:r/>
            <w:r>
              <w:rPr>
                <w:rFonts w:ascii="Arial" w:hAnsi="Arial"/>
                <w:b w:val="0"/>
                <w:sz w:val="16"/>
              </w:rPr>
              <w:t>Set framework, monitor, challenge, aggregate reporting</w:t>
            </w:r>
          </w:p>
        </w:tc>
      </w:tr>
      <w:tr>
        <w:tc>
          <w:tcPr>
            <w:tcW w:type="dxa" w:w="2736"/>
          </w:tcPr>
          <w:p>
            <w:r/>
            <w:r>
              <w:rPr>
                <w:rFonts w:ascii="Arial" w:hAnsi="Arial"/>
                <w:b w:val="0"/>
                <w:sz w:val="16"/>
              </w:rPr>
              <w:t>3rd line — Internal Audit</w:t>
            </w:r>
          </w:p>
        </w:tc>
        <w:tc>
          <w:tcPr>
            <w:tcW w:type="dxa" w:w="2448"/>
          </w:tcPr>
          <w:p>
            <w:r/>
            <w:r>
              <w:rPr>
                <w:rFonts w:ascii="Arial" w:hAnsi="Arial"/>
                <w:b w:val="0"/>
                <w:sz w:val="16"/>
              </w:rPr>
              <w:t>Assure</w:t>
            </w:r>
          </w:p>
        </w:tc>
        <w:tc>
          <w:tcPr>
            <w:tcW w:type="dxa" w:w="4896"/>
          </w:tcPr>
          <w:p>
            <w:r/>
            <w:r>
              <w:rPr>
                <w:rFonts w:ascii="Arial" w:hAnsi="Arial"/>
                <w:b w:val="0"/>
                <w:sz w:val="16"/>
              </w:rPr>
              <w:t>Independent assurance over the risk and control system</w:t>
            </w:r>
          </w:p>
        </w:tc>
      </w:tr>
    </w:tbl>
    <w:p>
      <w:pPr>
        <w:pStyle w:val="Heading2"/>
      </w:pPr>
      <w:r>
        <w:t>Reporting Templates</w:t>
      </w:r>
    </w:p>
    <w:p>
      <w:pPr>
        <w:pStyle w:val="Heading3"/>
      </w:pPr>
      <w:r>
        <w:t>Standard governance report structure</w:t>
      </w:r>
    </w:p>
    <w:p>
      <w:pPr>
        <w:pStyle w:val="ListBullet"/>
      </w:pPr>
      <w:r>
        <w:rPr>
          <w:sz w:val="19"/>
        </w:rPr>
        <w:t>Executive summary &amp; key messages</w:t>
      </w:r>
    </w:p>
    <w:p>
      <w:pPr>
        <w:pStyle w:val="ListBullet"/>
      </w:pPr>
      <w:r>
        <w:rPr>
          <w:sz w:val="19"/>
        </w:rPr>
        <w:t>Profile vs appetite (RAG)</w:t>
      </w:r>
    </w:p>
    <w:p>
      <w:pPr>
        <w:pStyle w:val="ListBullet"/>
      </w:pPr>
      <w:r>
        <w:rPr>
          <w:sz w:val="19"/>
        </w:rPr>
        <w:t>Top risks &amp; movement</w:t>
      </w:r>
    </w:p>
    <w:p>
      <w:pPr>
        <w:pStyle w:val="ListBullet"/>
      </w:pPr>
      <w:r>
        <w:rPr>
          <w:sz w:val="19"/>
        </w:rPr>
        <w:t>KRIs and breaches</w:t>
      </w:r>
    </w:p>
    <w:p>
      <w:pPr>
        <w:pStyle w:val="ListBullet"/>
      </w:pPr>
      <w:r>
        <w:rPr>
          <w:sz w:val="19"/>
        </w:rPr>
        <w:t>Incidents &amp; losses in period</w:t>
      </w:r>
    </w:p>
    <w:p>
      <w:pPr>
        <w:pStyle w:val="ListBullet"/>
      </w:pPr>
      <w:r>
        <w:rPr>
          <w:sz w:val="19"/>
        </w:rPr>
        <w:t>Actions &amp; overdue items</w:t>
      </w:r>
    </w:p>
    <w:p>
      <w:pPr>
        <w:pStyle w:val="ListBullet"/>
      </w:pPr>
      <w:r>
        <w:rPr>
          <w:sz w:val="19"/>
        </w:rPr>
        <w:t>Decisions / escalations sought</w:t>
      </w:r>
    </w:p>
    <w:p>
      <w:pPr>
        <w:pStyle w:val="Heading3"/>
      </w:pPr>
      <w:r>
        <w:t>KRI reporting table (example)</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2880"/>
            <w:shd w:val="clear" w:fill="1B4D89"/>
          </w:tcPr>
          <w:p>
            <w:r/>
            <w:r>
              <w:rPr>
                <w:rFonts w:ascii="Arial" w:hAnsi="Arial"/>
                <w:b/>
                <w:color w:val="FFFFFF"/>
                <w:sz w:val="16"/>
              </w:rPr>
              <w:t>KRI</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Threshold</w:t>
            </w:r>
          </w:p>
        </w:tc>
        <w:tc>
          <w:tcPr>
            <w:tcW w:type="dxa" w:w="1152"/>
            <w:shd w:val="clear" w:fill="1B4D89"/>
          </w:tcPr>
          <w:p>
            <w:r/>
            <w:r>
              <w:rPr>
                <w:rFonts w:ascii="Arial" w:hAnsi="Arial"/>
                <w:b/>
                <w:color w:val="FFFFFF"/>
                <w:sz w:val="16"/>
              </w:rPr>
              <w:t>RAG</w:t>
            </w:r>
          </w:p>
        </w:tc>
        <w:tc>
          <w:tcPr>
            <w:tcW w:type="dxa" w:w="1296"/>
            <w:shd w:val="clear" w:fill="1B4D89"/>
          </w:tcPr>
          <w:p>
            <w:r/>
            <w:r>
              <w:rPr>
                <w:rFonts w:ascii="Arial" w:hAnsi="Arial"/>
                <w:b/>
                <w:color w:val="FFFFFF"/>
                <w:sz w:val="16"/>
              </w:rPr>
              <w:t>Trend</w:t>
            </w:r>
          </w:p>
        </w:tc>
        <w:tc>
          <w:tcPr>
            <w:tcW w:type="dxa" w:w="3024"/>
            <w:shd w:val="clear" w:fill="1B4D89"/>
          </w:tcPr>
          <w:p>
            <w:r/>
            <w:r>
              <w:rPr>
                <w:rFonts w:ascii="Arial" w:hAnsi="Arial"/>
                <w:b/>
                <w:color w:val="FFFFFF"/>
                <w:sz w:val="16"/>
              </w:rPr>
              <w:t>Action</w:t>
            </w:r>
          </w:p>
        </w:tc>
      </w:tr>
      <w:tr>
        <w:tc>
          <w:tcPr>
            <w:tcW w:type="dxa" w:w="2880"/>
          </w:tcPr>
          <w:p>
            <w:r/>
            <w:r>
              <w:rPr>
                <w:rFonts w:ascii="Arial" w:hAnsi="Arial"/>
                <w:b w:val="0"/>
                <w:sz w:val="16"/>
              </w:rPr>
              <w:t>Assurance coverage of top risks</w:t>
            </w:r>
          </w:p>
        </w:tc>
        <w:tc>
          <w:tcPr>
            <w:tcW w:type="dxa" w:w="1440"/>
          </w:tcPr>
          <w:p>
            <w:r/>
            <w:r>
              <w:rPr>
                <w:rFonts w:ascii="Arial" w:hAnsi="Arial"/>
                <w:b w:val="0"/>
                <w:sz w:val="16"/>
              </w:rPr>
              <w:t>92%</w:t>
            </w:r>
          </w:p>
        </w:tc>
        <w:tc>
          <w:tcPr>
            <w:tcW w:type="dxa" w:w="1728"/>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1296"/>
          </w:tcPr>
          <w:p>
            <w:r/>
            <w:r>
              <w:rPr>
                <w:rFonts w:ascii="Arial" w:hAnsi="Arial"/>
                <w:b w:val="0"/>
                <w:sz w:val="16"/>
              </w:rPr>
              <w:t>Up</w:t>
            </w:r>
          </w:p>
        </w:tc>
        <w:tc>
          <w:tcPr>
            <w:tcW w:type="dxa" w:w="3024"/>
          </w:tcPr>
          <w:p>
            <w:r/>
            <w:r>
              <w:rPr>
                <w:rFonts w:ascii="Arial" w:hAnsi="Arial"/>
                <w:b w:val="0"/>
                <w:sz w:val="16"/>
              </w:rPr>
              <w:t>Plan cyber audit</w:t>
            </w:r>
          </w:p>
        </w:tc>
      </w:tr>
      <w:tr>
        <w:tc>
          <w:tcPr>
            <w:tcW w:type="dxa" w:w="2880"/>
            <w:shd w:val="clear" w:fill="F4F7FB"/>
          </w:tcPr>
          <w:p>
            <w:r/>
            <w:r>
              <w:rPr>
                <w:rFonts w:ascii="Arial" w:hAnsi="Arial"/>
                <w:b w:val="0"/>
                <w:sz w:val="16"/>
              </w:rPr>
              <w:t>Overdue board actions</w:t>
            </w:r>
          </w:p>
        </w:tc>
        <w:tc>
          <w:tcPr>
            <w:tcW w:type="dxa" w:w="1440"/>
            <w:shd w:val="clear" w:fill="F4F7FB"/>
          </w:tcPr>
          <w:p>
            <w:r/>
            <w:r>
              <w:rPr>
                <w:rFonts w:ascii="Arial" w:hAnsi="Arial"/>
                <w:b w:val="0"/>
                <w:sz w:val="16"/>
              </w:rPr>
              <w:t>1</w:t>
            </w:r>
          </w:p>
        </w:tc>
        <w:tc>
          <w:tcPr>
            <w:tcW w:type="dxa" w:w="1728"/>
            <w:shd w:val="clear" w:fill="F4F7FB"/>
          </w:tcPr>
          <w:p>
            <w:r/>
            <w:r>
              <w:rPr>
                <w:rFonts w:ascii="Arial" w:hAnsi="Arial"/>
                <w:b w:val="0"/>
                <w:sz w:val="16"/>
              </w:rPr>
              <w:t>0</w:t>
            </w:r>
          </w:p>
        </w:tc>
        <w:tc>
          <w:tcPr>
            <w:tcW w:type="dxa" w:w="1152"/>
            <w:shd w:val="clear" w:fill="F4F7FB"/>
            <w:shd w:val="clear" w:fill="E08A2B"/>
          </w:tcPr>
          <w:p>
            <w:pPr>
              <w:jc w:val="center"/>
            </w:pPr>
            <w:r/>
            <w:r>
              <w:rPr>
                <w:rFonts w:ascii="Arial" w:hAnsi="Arial"/>
                <w:b/>
                <w:color w:val="FFFFFF"/>
                <w:sz w:val="16"/>
              </w:rPr>
              <w:t>Amber</w:t>
            </w:r>
          </w:p>
        </w:tc>
        <w:tc>
          <w:tcPr>
            <w:tcW w:type="dxa" w:w="1296"/>
            <w:shd w:val="clear" w:fill="F4F7FB"/>
          </w:tcPr>
          <w:p>
            <w:r/>
            <w:r>
              <w:rPr>
                <w:rFonts w:ascii="Arial" w:hAnsi="Arial"/>
                <w:b w:val="0"/>
                <w:sz w:val="16"/>
              </w:rPr>
              <w:t>Stable</w:t>
            </w:r>
          </w:p>
        </w:tc>
        <w:tc>
          <w:tcPr>
            <w:tcW w:type="dxa" w:w="3024"/>
            <w:shd w:val="clear" w:fill="F4F7FB"/>
          </w:tcPr>
          <w:p>
            <w:r/>
            <w:r>
              <w:rPr>
                <w:rFonts w:ascii="Arial" w:hAnsi="Arial"/>
                <w:b w:val="0"/>
                <w:sz w:val="16"/>
              </w:rPr>
              <w:t>Close out</w:t>
            </w:r>
          </w:p>
        </w:tc>
      </w:tr>
      <w:tr>
        <w:tc>
          <w:tcPr>
            <w:tcW w:type="dxa" w:w="2880"/>
          </w:tcPr>
          <w:p>
            <w:r/>
            <w:r>
              <w:rPr>
                <w:rFonts w:ascii="Arial" w:hAnsi="Arial"/>
                <w:b w:val="0"/>
                <w:sz w:val="16"/>
              </w:rPr>
              <w:t>Policy review currency</w:t>
            </w:r>
          </w:p>
        </w:tc>
        <w:tc>
          <w:tcPr>
            <w:tcW w:type="dxa" w:w="1440"/>
          </w:tcPr>
          <w:p>
            <w:r/>
            <w:r>
              <w:rPr>
                <w:rFonts w:ascii="Arial" w:hAnsi="Arial"/>
                <w:b w:val="0"/>
                <w:sz w:val="16"/>
              </w:rPr>
              <w:t>100%</w:t>
            </w:r>
          </w:p>
        </w:tc>
        <w:tc>
          <w:tcPr>
            <w:tcW w:type="dxa" w:w="1728"/>
          </w:tcPr>
          <w:p>
            <w:r/>
            <w:r>
              <w:rPr>
                <w:rFonts w:ascii="Arial" w:hAnsi="Arial"/>
                <w:b w:val="0"/>
                <w:sz w:val="16"/>
              </w:rPr>
              <w:t>100%</w:t>
            </w:r>
          </w:p>
        </w:tc>
        <w:tc>
          <w:tcPr>
            <w:tcW w:type="dxa" w:w="1152"/>
            <w:shd w:val="clear" w:fill="2E7D5B"/>
          </w:tcPr>
          <w:p>
            <w:pPr>
              <w:jc w:val="center"/>
            </w:pPr>
            <w:r/>
            <w:r>
              <w:rPr>
                <w:rFonts w:ascii="Arial" w:hAnsi="Arial"/>
                <w:b/>
                <w:color w:val="FFFFFF"/>
                <w:sz w:val="16"/>
              </w:rPr>
              <w:t>Green</w:t>
            </w:r>
          </w:p>
        </w:tc>
        <w:tc>
          <w:tcPr>
            <w:tcW w:type="dxa" w:w="1296"/>
          </w:tcPr>
          <w:p>
            <w:r/>
            <w:r>
              <w:rPr>
                <w:rFonts w:ascii="Arial" w:hAnsi="Arial"/>
                <w:b w:val="0"/>
                <w:sz w:val="16"/>
              </w:rPr>
              <w:t>Stable</w:t>
            </w:r>
          </w:p>
        </w:tc>
        <w:tc>
          <w:tcPr>
            <w:tcW w:type="dxa" w:w="3024"/>
          </w:tcPr>
          <w:p>
            <w:r/>
            <w:r>
              <w:rPr>
                <w:rFonts w:ascii="Arial" w:hAnsi="Arial"/>
                <w:b w:val="0"/>
                <w:sz w:val="16"/>
              </w:rPr>
              <w:t>Maintain</w:t>
            </w:r>
          </w:p>
        </w:tc>
      </w:tr>
    </w:tbl>
    <w:p>
      <w:pPr>
        <w:pStyle w:val="Heading2"/>
      </w:pPr>
      <w:r>
        <w:t>Board Reporting Example</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Governance effectiveness</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Three-lines operating; charters current</w:t>
            </w:r>
          </w:p>
        </w:tc>
      </w:tr>
      <w:tr>
        <w:tc>
          <w:tcPr>
            <w:tcW w:type="dxa" w:w="2736"/>
            <w:shd w:val="clear" w:fill="F4F7FB"/>
          </w:tcPr>
          <w:p>
            <w:r/>
            <w:r>
              <w:rPr>
                <w:rFonts w:ascii="Arial" w:hAnsi="Arial"/>
                <w:b w:val="0"/>
                <w:sz w:val="16"/>
              </w:rPr>
              <w:t>Assurance coverage</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One top risk (cyber) lacks independent assurance — audit planned</w:t>
            </w:r>
          </w:p>
        </w:tc>
      </w:tr>
      <w:tr>
        <w:tc>
          <w:tcPr>
            <w:tcW w:type="dxa" w:w="2736"/>
          </w:tcPr>
          <w:p>
            <w:r/>
            <w:r>
              <w:rPr>
                <w:rFonts w:ascii="Arial" w:hAnsi="Arial"/>
                <w:b w:val="0"/>
                <w:sz w:val="16"/>
              </w:rPr>
              <w:t>Escalations</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No unresolved escalations this period</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updated Risk Committee charter</w:t>
            </w:r>
          </w:p>
        </w:tc>
      </w:tr>
    </w:tbl>
    <w:p>
      <w:pPr>
        <w:pStyle w:val="Heading2"/>
      </w:pPr>
      <w:r>
        <w:t>Disclaimer</w:t>
      </w:r>
    </w:p>
    <w:p>
      <w:r>
        <w:rPr>
          <w:b w:val="0"/>
          <w:i/>
          <w:sz w:val="18"/>
        </w:rPr>
        <w:t>This toolkit is a professional management resource, not legal, regulatory or audit advice. Calibrate scoring scales, appetite, limits and governance to your organisation, sector and applicable regulation. Sector-specific requirements (e.g. prudential, data-protection, HSE) must be confirmed against current local regulation.</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