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Fixed Asset Controls Policy</w:t>
      </w:r>
    </w:p>
    <w:p>
      <w:r>
        <w:rPr>
          <w:color w:val="5A5A5A"/>
          <w:sz w:val="20"/>
        </w:rPr>
        <w:t>Policy · Entitlement: Free · Audience: Boards, auditors, finance, risk &amp; compliance</w:t>
      </w:r>
    </w:p>
    <w:p/>
    <w:p>
      <w:r>
        <w:t>Policy — Fixed Asset Controls Policy.</w:t>
      </w:r>
    </w:p>
    <w:p>
      <w:r/>
      <w:r>
        <w:rPr>
          <w:b/>
          <w:color w:val="0B1220"/>
          <w:sz w:val="26"/>
        </w:rPr>
        <w:t>Purpose</w:t>
      </w:r>
    </w:p>
    <w:p>
      <w:r>
        <w:t>This policy formalises the organisation's approach to “Fixed Asset Controls Policy”.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fw_fixed_asset_controls. Diagnostic assessment: asm_financial_controls. Advisory service: svc_controls_assessment.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