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RISK MANAGEMENT CENTRE™</w:t>
      </w:r>
    </w:p>
    <w:p>
      <w:pPr>
        <w:jc w:val="center"/>
      </w:pPr>
      <w:r>
        <w:rPr>
          <w:b/>
          <w:color w:val="10243F"/>
          <w:sz w:val="52"/>
        </w:rPr>
        <w:t>Risk Dashboard Pack</w:t>
      </w:r>
    </w:p>
    <w:p>
      <w:pPr>
        <w:jc w:val="center"/>
      </w:pPr>
      <w:r>
        <w:rPr>
          <w:color w:val="C97B2C"/>
          <w:sz w:val="26"/>
        </w:rPr>
        <w:t>Board-grade risk dashboards &amp; interpretation</w:t>
      </w:r>
    </w:p>
    <w:p/>
    <w:p/>
    <w:p>
      <w:pPr>
        <w:jc w:val="center"/>
      </w:pPr>
      <w:r>
        <w:rPr>
          <w:color w:val="555555"/>
          <w:sz w:val="20"/>
        </w:rPr>
        <w:t>Board / Risk Committee  ·  Access Tier T3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Enterprise Risk Dashboard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59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KPI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Value</w:t>
            </w:r>
          </w:p>
        </w:tc>
        <w:tc>
          <w:tcPr>
            <w:tcW w:type="dxa" w:w="158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00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50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Interpretation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Risks over appetite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2</w:t>
            </w:r>
          </w:p>
        </w:tc>
        <w:tc>
          <w:tcPr>
            <w:tcW w:type="dxa" w:w="1584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008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6"/>
              </w:rPr>
              <w:t>Profile outside board-set boundaries</w:t>
            </w:r>
          </w:p>
        </w:tc>
      </w:tr>
      <w:tr>
        <w:tc>
          <w:tcPr>
            <w:tcW w:type="dxa" w:w="25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Top-10 risk trend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↑</w:t>
            </w:r>
          </w:p>
        </w:tc>
        <w:tc>
          <w:tcPr>
            <w:tcW w:type="dxa" w:w="158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Stable/down</w:t>
            </w:r>
          </w:p>
        </w:tc>
        <w:tc>
          <w:tcPr>
            <w:tcW w:type="dxa" w:w="1008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50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Most material risks deteriorating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KRIs in breach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2</w:t>
            </w:r>
          </w:p>
        </w:tc>
        <w:tc>
          <w:tcPr>
            <w:tcW w:type="dxa" w:w="1584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008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6"/>
              </w:rPr>
              <w:t>Early-warning signals firing</w:t>
            </w:r>
          </w:p>
        </w:tc>
      </w:tr>
      <w:tr>
        <w:tc>
          <w:tcPr>
            <w:tcW w:type="dxa" w:w="259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Control effectiveness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93%</w:t>
            </w:r>
          </w:p>
        </w:tc>
        <w:tc>
          <w:tcPr>
            <w:tcW w:type="dxa" w:w="158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≥95%</w:t>
            </w:r>
          </w:p>
        </w:tc>
        <w:tc>
          <w:tcPr>
            <w:tcW w:type="dxa" w:w="1008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50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Some control gaps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Arial" w:hAnsi="Arial"/>
                <w:b w:val="0"/>
                <w:sz w:val="16"/>
              </w:rPr>
              <w:t>Risk maturity index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68</w:t>
            </w:r>
          </w:p>
        </w:tc>
        <w:tc>
          <w:tcPr>
            <w:tcW w:type="dxa" w:w="1584"/>
          </w:tcPr>
          <w:p>
            <w:r/>
            <w:r>
              <w:rPr>
                <w:rFonts w:ascii="Arial" w:hAnsi="Arial"/>
                <w:b w:val="0"/>
                <w:sz w:val="16"/>
              </w:rPr>
              <w:t>Improving</w:t>
            </w:r>
          </w:p>
        </w:tc>
        <w:tc>
          <w:tcPr>
            <w:tcW w:type="dxa" w:w="1008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5040"/>
          </w:tcPr>
          <w:p>
            <w:r/>
            <w:r>
              <w:rPr>
                <w:rFonts w:ascii="Arial" w:hAnsi="Arial"/>
                <w:b w:val="0"/>
                <w:sz w:val="16"/>
              </w:rPr>
              <w:t>Established; on track to Strategic</w:t>
            </w:r>
          </w:p>
        </w:tc>
      </w:tr>
    </w:tbl>
    <w:p>
      <w:pPr>
        <w:pStyle w:val="Heading1"/>
      </w:pPr>
      <w:r>
        <w:t>2. Appetite Dashboard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360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Risk type</w:t>
            </w:r>
          </w:p>
        </w:tc>
        <w:tc>
          <w:tcPr>
            <w:tcW w:type="dxa" w:w="360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Utilisation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Arial" w:hAnsi="Arial"/>
                <w:b w:val="0"/>
                <w:sz w:val="16"/>
              </w:rPr>
              <w:t>Liquidity</w:t>
            </w:r>
          </w:p>
        </w:tc>
        <w:tc>
          <w:tcPr>
            <w:tcW w:type="dxa" w:w="3600"/>
          </w:tcPr>
          <w:p>
            <w:r/>
            <w:r>
              <w:rPr>
                <w:rFonts w:ascii="Arial" w:hAnsi="Arial"/>
                <w:b w:val="0"/>
                <w:sz w:val="16"/>
              </w:rPr>
              <w:t>77%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</w:tr>
      <w:tr>
        <w:tc>
          <w:tcPr>
            <w:tcW w:type="dxa" w:w="360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FX/Market</w:t>
            </w:r>
          </w:p>
        </w:tc>
        <w:tc>
          <w:tcPr>
            <w:tcW w:type="dxa" w:w="360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113%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Arial" w:hAnsi="Arial"/>
                <w:b w:val="0"/>
                <w:sz w:val="16"/>
              </w:rPr>
              <w:t>Operational</w:t>
            </w:r>
          </w:p>
        </w:tc>
        <w:tc>
          <w:tcPr>
            <w:tcW w:type="dxa" w:w="3600"/>
          </w:tcPr>
          <w:p>
            <w:r/>
            <w:r>
              <w:rPr>
                <w:rFonts w:ascii="Arial" w:hAnsi="Arial"/>
                <w:b w:val="0"/>
                <w:sz w:val="16"/>
              </w:rPr>
              <w:t>Breach</w:t>
            </w:r>
          </w:p>
        </w:tc>
        <w:tc>
          <w:tcPr>
            <w:tcW w:type="dxa" w:w="1440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360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Cyber</w:t>
            </w:r>
          </w:p>
        </w:tc>
        <w:tc>
          <w:tcPr>
            <w:tcW w:type="dxa" w:w="360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Breach</w:t>
            </w:r>
          </w:p>
        </w:tc>
        <w:tc>
          <w:tcPr>
            <w:tcW w:type="dxa" w:w="1440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3600"/>
          </w:tcPr>
          <w:p>
            <w:r/>
            <w:r>
              <w:rPr>
                <w:rFonts w:ascii="Arial" w:hAnsi="Arial"/>
                <w:b w:val="0"/>
                <w:sz w:val="16"/>
              </w:rPr>
              <w:t>Fraud</w:t>
            </w:r>
          </w:p>
        </w:tc>
        <w:tc>
          <w:tcPr>
            <w:tcW w:type="dxa" w:w="3600"/>
          </w:tcPr>
          <w:p>
            <w:r/>
            <w:r>
              <w:rPr>
                <w:rFonts w:ascii="Arial" w:hAnsi="Arial"/>
                <w:b w:val="0"/>
                <w:sz w:val="16"/>
              </w:rPr>
              <w:t>65%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</w:tr>
      <w:tr>
        <w:tc>
          <w:tcPr>
            <w:tcW w:type="dxa" w:w="360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Compliance</w:t>
            </w:r>
          </w:p>
        </w:tc>
        <w:tc>
          <w:tcPr>
            <w:tcW w:type="dxa" w:w="360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0%</w:t>
            </w:r>
          </w:p>
        </w:tc>
        <w:tc>
          <w:tcPr>
            <w:tcW w:type="dxa" w:w="1440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</w:tr>
    </w:tbl>
    <w:p>
      <w:pPr>
        <w:pStyle w:val="Heading1"/>
      </w:pPr>
      <w:r>
        <w:t>3. Cyber Dashboard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432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KPI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Value</w:t>
            </w:r>
          </w:p>
        </w:tc>
        <w:tc>
          <w:tcPr>
            <w:tcW w:type="dxa" w:w="201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Open critical vulnerabilities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1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296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Critical patch SLA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91%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≥95%</w:t>
            </w:r>
          </w:p>
        </w:tc>
        <w:tc>
          <w:tcPr>
            <w:tcW w:type="dxa" w:w="1296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Severe incidents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2016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296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</w:tr>
      <w:tr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Backup restore test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Pass</w:t>
            </w:r>
          </w:p>
        </w:tc>
        <w:tc>
          <w:tcPr>
            <w:tcW w:type="dxa" w:w="201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Pass</w:t>
            </w:r>
          </w:p>
        </w:tc>
        <w:tc>
          <w:tcPr>
            <w:tcW w:type="dxa" w:w="1296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</w:tr>
    </w:tbl>
    <w:p>
      <w:pPr>
        <w:pStyle w:val="Heading1"/>
      </w:pPr>
      <w:r>
        <w:t>4. Operational &amp; Fraud Dashboards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432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KPI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Value</w:t>
            </w:r>
          </w:p>
        </w:tc>
        <w:tc>
          <w:tcPr>
            <w:tcW w:type="dxa" w:w="23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Loss events (period, ₦m)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17.9</w:t>
            </w:r>
          </w:p>
        </w:tc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Within tolerance</w:t>
            </w:r>
          </w:p>
        </w:tc>
        <w:tc>
          <w:tcPr>
            <w:tcW w:type="dxa" w:w="1296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</w:tr>
      <w:tr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RCSA completion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296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6"/>
              </w:rPr>
              <w:t>Open critical issues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2</w:t>
            </w:r>
          </w:p>
        </w:tc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296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</w:tr>
      <w:tr>
        <w:tc>
          <w:tcPr>
            <w:tcW w:type="dxa" w:w="432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Fraud loss YTD (₦m)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6.5</w:t>
            </w:r>
          </w:p>
        </w:tc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≤10</w:t>
            </w:r>
          </w:p>
        </w:tc>
        <w:tc>
          <w:tcPr>
            <w:tcW w:type="dxa" w:w="1296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</w:tr>
    </w:tbl>
    <w:p>
      <w:pPr>
        <w:pStyle w:val="Heading1"/>
      </w:pPr>
      <w:r>
        <w:t>5. How to Read These Dashboards</w:t>
      </w:r>
    </w:p>
    <w:p>
      <w:pPr>
        <w:pStyle w:val="ListBullet"/>
      </w:pPr>
      <w:r>
        <w:rPr>
          <w:sz w:val="19"/>
        </w:rPr>
        <w:t>RAG: Green = within threshold; Amber = approaching/≥90% of limit; Red = breach.</w:t>
      </w:r>
    </w:p>
    <w:p>
      <w:pPr>
        <w:pStyle w:val="ListBullet"/>
      </w:pPr>
      <w:r>
        <w:rPr>
          <w:sz w:val="19"/>
        </w:rPr>
        <w:t>Focus board time on Red items and worsening trends, not the whole list.</w:t>
      </w:r>
    </w:p>
    <w:p>
      <w:pPr>
        <w:pStyle w:val="ListBullet"/>
      </w:pPr>
      <w:r>
        <w:rPr>
          <w:sz w:val="19"/>
        </w:rPr>
        <w:t>Every Red should have a named owner, an action and a date.</w:t>
      </w:r>
    </w:p>
    <w:p>
      <w:pPr>
        <w:pStyle w:val="ListBullet"/>
      </w:pPr>
      <w:r>
        <w:rPr>
          <w:sz w:val="19"/>
        </w:rPr>
        <w:t>Thresholds are set from board-approved risk appetite — review them annually.</w:t>
      </w:r>
    </w:p>
    <w:p>
      <w:pPr>
        <w:pStyle w:val="Heading2"/>
      </w:pPr>
      <w:r>
        <w:t>Disclaimer</w:t>
      </w:r>
    </w:p>
    <w:p>
      <w:r>
        <w:rPr>
          <w:b w:val="0"/>
          <w:i/>
          <w:sz w:val="18"/>
        </w:rPr>
        <w:t>This toolkit is a professional management resource, not legal, regulatory or audit advice. Calibrate scoring scales, appetite, limits and governance to your organisation, sector and applicable regulation. Sector-specific requirements (e.g. prudential, data-protection, HSE) must be confirmed against current local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