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Supplier ESG Code of Conduct</w:t>
      </w:r>
    </w:p>
    <w:p>
      <w:r>
        <w:rPr>
          <w:i/>
        </w:rPr>
        <w:t>Outliers Professionals — ESG &amp; Sustainability Centre™</w:t>
      </w:r>
    </w:p>
    <w:p>
      <w:r>
        <w:t>Edition: 2026  •  Classification: Internal  •  Owner: Chief Sustainability Officer</w:t>
      </w:r>
    </w:p>
    <w:p>
      <w:r>
        <w:t>This Supplier ESG Code of Conduct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'Supplier ESG Code of Conduct'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Policy Statement</w:t>
      </w:r>
    </w:p>
    <w:tbl>
      <w:tblPr>
        <w:tblStyle w:val="LightGrid-Accent1"/>
        <w:tblW w:type="auto" w:w="0"/>
        <w:tblLook w:firstColumn="1" w:firstRow="1" w:lastColumn="0" w:lastRow="0" w:noHBand="0" w:noVBand="1" w:val="04A0"/>
      </w:tblPr>
      <w:tblGrid>
        <w:gridCol w:w="4320"/>
        <w:gridCol w:w="4320"/>
      </w:tblGrid>
      <w:tr>
        <w:tc>
          <w:tcPr>
            <w:tcW w:type="dxa" w:w="4320"/>
          </w:tcPr>
          <w:p>
            <w:r>
              <w:rPr>
                <w:b/>
              </w:rPr>
              <w:t>Element</w:t>
            </w:r>
          </w:p>
        </w:tc>
        <w:tc>
          <w:tcPr>
            <w:tcW w:type="dxa" w:w="4320"/>
          </w:tcPr>
          <w:p>
            <w:r>
              <w:rPr>
                <w:b/>
              </w:rPr>
              <w:t>Content</w:t>
            </w:r>
          </w:p>
        </w:tc>
      </w:tr>
      <w:tr>
        <w:tc>
          <w:tcPr>
            <w:tcW w:type="dxa" w:w="4320"/>
          </w:tcPr>
          <w:p>
            <w:r>
              <w:t>Commitment</w:t>
            </w:r>
          </w:p>
        </w:tc>
        <w:tc>
          <w:tcPr>
            <w:tcW w:type="dxa" w:w="4320"/>
          </w:tcPr>
          <w:p>
            <w:r>
              <w:t>The organisation commits to responsible supplier esg code of conduct aligned to ISSB, GRI, TCFD and Nigerian regulatory frameworks.</w:t>
            </w:r>
          </w:p>
        </w:tc>
      </w:tr>
      <w:tr>
        <w:tc>
          <w:tcPr>
            <w:tcW w:type="dxa" w:w="4320"/>
          </w:tcPr>
          <w:p>
            <w:r>
              <w:t>Scope</w:t>
            </w:r>
          </w:p>
        </w:tc>
        <w:tc>
          <w:tcPr>
            <w:tcW w:type="dxa" w:w="4320"/>
          </w:tcPr>
          <w:p>
            <w:r>
              <w:t>All subsidiaries, joint ventures (operational control), employees, contractors and tier-1 suppliers.</w:t>
            </w:r>
          </w:p>
        </w:tc>
      </w:tr>
      <w:tr>
        <w:tc>
          <w:tcPr>
            <w:tcW w:type="dxa" w:w="4320"/>
          </w:tcPr>
          <w:p>
            <w:r>
              <w:t>Roles</w:t>
            </w:r>
          </w:p>
        </w:tc>
        <w:tc>
          <w:tcPr>
            <w:tcW w:type="dxa" w:w="4320"/>
          </w:tcPr>
          <w:p>
            <w:r>
              <w:t>Board ESG Committee oversees; CSO executes; Internal Audit assures.</w:t>
            </w:r>
          </w:p>
        </w:tc>
      </w:tr>
      <w:tr>
        <w:tc>
          <w:tcPr>
            <w:tcW w:type="dxa" w:w="4320"/>
          </w:tcPr>
          <w:p>
            <w:r>
              <w:t>KPIs</w:t>
            </w:r>
          </w:p>
        </w:tc>
        <w:tc>
          <w:tcPr>
            <w:tcW w:type="dxa" w:w="4320"/>
          </w:tcPr>
          <w:p>
            <w:r>
              <w:t>See linked KPI Workbook and Sustainability Scorecard.</w:t>
            </w:r>
          </w:p>
        </w:tc>
      </w:tr>
      <w:tr>
        <w:tc>
          <w:tcPr>
            <w:tcW w:type="dxa" w:w="4320"/>
          </w:tcPr>
          <w:p>
            <w:r>
              <w:t>Breach handling</w:t>
            </w:r>
          </w:p>
        </w:tc>
        <w:tc>
          <w:tcPr>
            <w:tcW w:type="dxa" w:w="4320"/>
          </w:tcPr>
          <w:p>
            <w:r>
              <w:t>Report via grievance / whistleblowing channel; investigation within 14 days; remediation plan within 30 days.</w:t>
            </w:r>
          </w:p>
        </w:tc>
      </w:tr>
      <w:tr>
        <w:tc>
          <w:tcPr>
            <w:tcW w:type="dxa" w:w="4320"/>
          </w:tcPr>
          <w:p>
            <w:r>
              <w:t>Review</w:t>
            </w:r>
          </w:p>
        </w:tc>
        <w:tc>
          <w:tcPr>
            <w:tcW w:type="dxa" w:w="4320"/>
          </w:tcPr>
          <w:p>
            <w:r>
              <w:t>Annual; next due 2027</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