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ESG &amp; SUSTAINABILITY CENTRE™</w:t>
      </w:r>
    </w:p>
    <w:p>
      <w:pPr>
        <w:jc w:val="center"/>
      </w:pPr>
      <w:r>
        <w:rPr>
          <w:b/>
          <w:color w:val="10243F"/>
          <w:sz w:val="46"/>
        </w:rPr>
        <w:t>ESG Committee Charter</w:t>
      </w:r>
    </w:p>
    <w:p>
      <w:pPr>
        <w:jc w:val="center"/>
      </w:pPr>
      <w:r>
        <w:rPr>
          <w:color w:val="C97B2C"/>
          <w:sz w:val="26"/>
        </w:rPr>
        <w:t>Terms of reference for the board ESG / Sustainability Committee</w:t>
      </w:r>
    </w:p>
    <w:p/>
    <w:p/>
    <w:p>
      <w:pPr>
        <w:jc w:val="center"/>
      </w:pPr>
      <w:r>
        <w:rPr>
          <w:color w:val="555555"/>
          <w:sz w:val="20"/>
        </w:rPr>
        <w:t>Board / ESG Committee  ·  Flagship Edition 2026</w:t>
      </w:r>
    </w:p>
    <w:p>
      <w:pPr>
        <w:jc w:val="center"/>
      </w:pPr>
      <w:r>
        <w:rPr>
          <w:i/>
          <w:color w:val="555555"/>
          <w:sz w:val="18"/>
        </w:rPr>
        <w:t>Outliers Professionals Ltd — ESG &amp; Sustainability Centre Resource Library</w:t>
      </w:r>
    </w:p>
    <w:p>
      <w:r>
        <w:br w:type="page"/>
      </w:r>
    </w:p>
    <w:p>
      <w:pPr>
        <w:pStyle w:val="Heading1"/>
      </w:pPr>
      <w:r>
        <w:t>1. Purpose</w:t>
      </w:r>
    </w:p>
    <w:p>
      <w:r>
        <w:rPr>
          <w:b w:val="0"/>
          <w:i w:val="0"/>
          <w:sz w:val="20"/>
        </w:rPr>
        <w:t>The ESG (Sustainability) Committee assists the board in overseeing the organisation's ESG strategy, performance, risk and disclosure. This charter is a template; confirm composition and authority against the board's governance framework and applicable requirements (referenced by name).</w:t>
      </w:r>
    </w:p>
    <w:p>
      <w:pPr>
        <w:pStyle w:val="Heading1"/>
      </w:pPr>
      <w:r>
        <w:t>2. Authority</w:t>
      </w:r>
    </w:p>
    <w:p>
      <w:pPr>
        <w:pStyle w:val="ListBullet"/>
      </w:pPr>
      <w:r>
        <w:rPr>
          <w:sz w:val="19"/>
        </w:rPr>
        <w:t>Oversee ESG strategy, targets and performance.</w:t>
      </w:r>
    </w:p>
    <w:p>
      <w:pPr>
        <w:pStyle w:val="ListBullet"/>
      </w:pPr>
      <w:r>
        <w:rPr>
          <w:sz w:val="19"/>
        </w:rPr>
        <w:t>Oversee climate strategy, transition and ESG/climate risk.</w:t>
      </w:r>
    </w:p>
    <w:p>
      <w:pPr>
        <w:pStyle w:val="ListBullet"/>
      </w:pPr>
      <w:r>
        <w:rPr>
          <w:sz w:val="19"/>
        </w:rPr>
        <w:t>Oversee ESG disclosure and assurance.</w:t>
      </w:r>
    </w:p>
    <w:p>
      <w:pPr>
        <w:pStyle w:val="ListBullet"/>
      </w:pPr>
      <w:r>
        <w:rPr>
          <w:sz w:val="19"/>
        </w:rPr>
        <w:t>Request information and access management and advisers.</w:t>
      </w:r>
    </w:p>
    <w:p>
      <w:pPr>
        <w:pStyle w:val="ListBullet"/>
      </w:pPr>
      <w:r>
        <w:rPr>
          <w:sz w:val="19"/>
        </w:rPr>
        <w:t>Make recommendations to the board.</w:t>
      </w:r>
    </w:p>
    <w:p>
      <w:pPr>
        <w:pStyle w:val="Heading1"/>
      </w:pPr>
      <w:r>
        <w:t>3. Composition</w:t>
      </w:r>
    </w:p>
    <w:tbl>
      <w:tblPr>
        <w:tblStyle w:val="TableGrid"/>
        <w:tblW w:type="auto" w:w="0"/>
        <w:jc w:val="center"/>
        <w:tblLook w:firstColumn="1" w:firstRow="1" w:lastColumn="0" w:lastRow="0" w:noHBand="0" w:noVBand="1" w:val="04A0"/>
      </w:tblPr>
      <w:tblGrid>
        <w:gridCol w:w="4896"/>
        <w:gridCol w:w="4896"/>
      </w:tblGrid>
      <w:tr>
        <w:tc>
          <w:tcPr>
            <w:tcW w:type="dxa" w:w="2880"/>
            <w:shd w:val="clear" w:fill="1B4D89"/>
          </w:tcPr>
          <w:p>
            <w:r/>
            <w:r>
              <w:rPr>
                <w:rFonts w:ascii="Arial" w:hAnsi="Arial"/>
                <w:b/>
                <w:color w:val="FFFFFF"/>
                <w:sz w:val="16"/>
              </w:rPr>
              <w:t>Item</w:t>
            </w:r>
          </w:p>
        </w:tc>
        <w:tc>
          <w:tcPr>
            <w:tcW w:type="dxa" w:w="8640"/>
            <w:shd w:val="clear" w:fill="1B4D89"/>
          </w:tcPr>
          <w:p>
            <w:r/>
            <w:r>
              <w:rPr>
                <w:rFonts w:ascii="Arial" w:hAnsi="Arial"/>
                <w:b/>
                <w:color w:val="FFFFFF"/>
                <w:sz w:val="16"/>
              </w:rPr>
              <w:t>Provision</w:t>
            </w:r>
          </w:p>
        </w:tc>
      </w:tr>
      <w:tr>
        <w:tc>
          <w:tcPr>
            <w:tcW w:type="dxa" w:w="2880"/>
          </w:tcPr>
          <w:p>
            <w:r/>
            <w:r>
              <w:rPr>
                <w:rFonts w:ascii="Arial" w:hAnsi="Arial"/>
                <w:b w:val="0"/>
                <w:sz w:val="16"/>
              </w:rPr>
              <w:t>Members</w:t>
            </w:r>
          </w:p>
        </w:tc>
        <w:tc>
          <w:tcPr>
            <w:tcW w:type="dxa" w:w="8640"/>
          </w:tcPr>
          <w:p>
            <w:r/>
            <w:r>
              <w:rPr>
                <w:rFonts w:ascii="Arial" w:hAnsi="Arial"/>
                <w:b w:val="0"/>
                <w:sz w:val="16"/>
              </w:rPr>
              <w:t>[number] non-executive directors</w:t>
            </w:r>
          </w:p>
        </w:tc>
      </w:tr>
      <w:tr>
        <w:tc>
          <w:tcPr>
            <w:tcW w:type="dxa" w:w="2880"/>
            <w:shd w:val="clear" w:fill="F4F7FB"/>
          </w:tcPr>
          <w:p>
            <w:r/>
            <w:r>
              <w:rPr>
                <w:rFonts w:ascii="Arial" w:hAnsi="Arial"/>
                <w:b w:val="0"/>
                <w:sz w:val="16"/>
              </w:rPr>
              <w:t>Chair</w:t>
            </w:r>
          </w:p>
        </w:tc>
        <w:tc>
          <w:tcPr>
            <w:tcW w:type="dxa" w:w="8640"/>
            <w:shd w:val="clear" w:fill="F4F7FB"/>
          </w:tcPr>
          <w:p>
            <w:r/>
            <w:r>
              <w:rPr>
                <w:rFonts w:ascii="Arial" w:hAnsi="Arial"/>
                <w:b w:val="0"/>
                <w:sz w:val="16"/>
              </w:rPr>
              <w:t>Independent non-executive director</w:t>
            </w:r>
          </w:p>
        </w:tc>
      </w:tr>
      <w:tr>
        <w:tc>
          <w:tcPr>
            <w:tcW w:type="dxa" w:w="2880"/>
          </w:tcPr>
          <w:p>
            <w:r/>
            <w:r>
              <w:rPr>
                <w:rFonts w:ascii="Arial" w:hAnsi="Arial"/>
                <w:b w:val="0"/>
                <w:sz w:val="16"/>
              </w:rPr>
              <w:t>Quorum</w:t>
            </w:r>
          </w:p>
        </w:tc>
        <w:tc>
          <w:tcPr>
            <w:tcW w:type="dxa" w:w="8640"/>
          </w:tcPr>
          <w:p>
            <w:r/>
            <w:r>
              <w:rPr>
                <w:rFonts w:ascii="Arial" w:hAnsi="Arial"/>
                <w:b w:val="0"/>
                <w:sz w:val="16"/>
              </w:rPr>
              <w:t>[number] members</w:t>
            </w:r>
          </w:p>
        </w:tc>
      </w:tr>
      <w:tr>
        <w:tc>
          <w:tcPr>
            <w:tcW w:type="dxa" w:w="2880"/>
            <w:shd w:val="clear" w:fill="F4F7FB"/>
          </w:tcPr>
          <w:p>
            <w:r/>
            <w:r>
              <w:rPr>
                <w:rFonts w:ascii="Arial" w:hAnsi="Arial"/>
                <w:b w:val="0"/>
                <w:sz w:val="16"/>
              </w:rPr>
              <w:t>Attendees</w:t>
            </w:r>
          </w:p>
        </w:tc>
        <w:tc>
          <w:tcPr>
            <w:tcW w:type="dxa" w:w="8640"/>
            <w:shd w:val="clear" w:fill="F4F7FB"/>
          </w:tcPr>
          <w:p>
            <w:r/>
            <w:r>
              <w:rPr>
                <w:rFonts w:ascii="Arial" w:hAnsi="Arial"/>
                <w:b w:val="0"/>
                <w:sz w:val="16"/>
              </w:rPr>
              <w:t>CSO, CFO, CRO by invitation</w:t>
            </w:r>
          </w:p>
        </w:tc>
      </w:tr>
      <w:tr>
        <w:tc>
          <w:tcPr>
            <w:tcW w:type="dxa" w:w="2880"/>
          </w:tcPr>
          <w:p>
            <w:r/>
            <w:r>
              <w:rPr>
                <w:rFonts w:ascii="Arial" w:hAnsi="Arial"/>
                <w:b w:val="0"/>
                <w:sz w:val="16"/>
              </w:rPr>
              <w:t>Secretary</w:t>
            </w:r>
          </w:p>
        </w:tc>
        <w:tc>
          <w:tcPr>
            <w:tcW w:type="dxa" w:w="8640"/>
          </w:tcPr>
          <w:p>
            <w:r/>
            <w:r>
              <w:rPr>
                <w:rFonts w:ascii="Arial" w:hAnsi="Arial"/>
                <w:b w:val="0"/>
                <w:sz w:val="16"/>
              </w:rPr>
              <w:t>Company Secretary</w:t>
            </w:r>
          </w:p>
        </w:tc>
      </w:tr>
    </w:tbl>
    <w:p>
      <w:pPr>
        <w:pStyle w:val="Heading1"/>
      </w:pPr>
      <w:r>
        <w:t>4. Responsibilities</w:t>
      </w:r>
    </w:p>
    <w:tbl>
      <w:tblPr>
        <w:tblStyle w:val="TableGrid"/>
        <w:tblW w:type="auto" w:w="0"/>
        <w:jc w:val="center"/>
        <w:tblLook w:firstColumn="1" w:firstRow="1" w:lastColumn="0" w:lastRow="0" w:noHBand="0" w:noVBand="1" w:val="04A0"/>
      </w:tblPr>
      <w:tblGrid>
        <w:gridCol w:w="4896"/>
        <w:gridCol w:w="4896"/>
      </w:tblGrid>
      <w:tr>
        <w:tc>
          <w:tcPr>
            <w:tcW w:type="dxa" w:w="2880"/>
            <w:shd w:val="clear" w:fill="1B4D89"/>
          </w:tcPr>
          <w:p>
            <w:r/>
            <w:r>
              <w:rPr>
                <w:rFonts w:ascii="Arial" w:hAnsi="Arial"/>
                <w:b/>
                <w:color w:val="FFFFFF"/>
                <w:sz w:val="16"/>
              </w:rPr>
              <w:t>Area</w:t>
            </w:r>
          </w:p>
        </w:tc>
        <w:tc>
          <w:tcPr>
            <w:tcW w:type="dxa" w:w="8640"/>
            <w:shd w:val="clear" w:fill="1B4D89"/>
          </w:tcPr>
          <w:p>
            <w:r/>
            <w:r>
              <w:rPr>
                <w:rFonts w:ascii="Arial" w:hAnsi="Arial"/>
                <w:b/>
                <w:color w:val="FFFFFF"/>
                <w:sz w:val="16"/>
              </w:rPr>
              <w:t>Responsibility</w:t>
            </w:r>
          </w:p>
        </w:tc>
      </w:tr>
      <w:tr>
        <w:tc>
          <w:tcPr>
            <w:tcW w:type="dxa" w:w="2880"/>
          </w:tcPr>
          <w:p>
            <w:r/>
            <w:r>
              <w:rPr>
                <w:rFonts w:ascii="Arial" w:hAnsi="Arial"/>
                <w:b w:val="0"/>
                <w:sz w:val="16"/>
              </w:rPr>
              <w:t>Strategy &amp; materiality</w:t>
            </w:r>
          </w:p>
        </w:tc>
        <w:tc>
          <w:tcPr>
            <w:tcW w:type="dxa" w:w="8640"/>
          </w:tcPr>
          <w:p>
            <w:r/>
            <w:r>
              <w:rPr>
                <w:rFonts w:ascii="Arial" w:hAnsi="Arial"/>
                <w:b w:val="0"/>
                <w:sz w:val="16"/>
              </w:rPr>
              <w:t>Review ESG strategy and material topics</w:t>
            </w:r>
          </w:p>
        </w:tc>
      </w:tr>
      <w:tr>
        <w:tc>
          <w:tcPr>
            <w:tcW w:type="dxa" w:w="2880"/>
            <w:shd w:val="clear" w:fill="F4F7FB"/>
          </w:tcPr>
          <w:p>
            <w:r/>
            <w:r>
              <w:rPr>
                <w:rFonts w:ascii="Arial" w:hAnsi="Arial"/>
                <w:b w:val="0"/>
                <w:sz w:val="16"/>
              </w:rPr>
              <w:t>Climate</w:t>
            </w:r>
          </w:p>
        </w:tc>
        <w:tc>
          <w:tcPr>
            <w:tcW w:type="dxa" w:w="8640"/>
            <w:shd w:val="clear" w:fill="F4F7FB"/>
          </w:tcPr>
          <w:p>
            <w:r/>
            <w:r>
              <w:rPr>
                <w:rFonts w:ascii="Arial" w:hAnsi="Arial"/>
                <w:b w:val="0"/>
                <w:sz w:val="16"/>
              </w:rPr>
              <w:t>Oversee climate strategy, transition and targets</w:t>
            </w:r>
          </w:p>
        </w:tc>
      </w:tr>
      <w:tr>
        <w:tc>
          <w:tcPr>
            <w:tcW w:type="dxa" w:w="2880"/>
          </w:tcPr>
          <w:p>
            <w:r/>
            <w:r>
              <w:rPr>
                <w:rFonts w:ascii="Arial" w:hAnsi="Arial"/>
                <w:b w:val="0"/>
                <w:sz w:val="16"/>
              </w:rPr>
              <w:t>Performance</w:t>
            </w:r>
          </w:p>
        </w:tc>
        <w:tc>
          <w:tcPr>
            <w:tcW w:type="dxa" w:w="8640"/>
          </w:tcPr>
          <w:p>
            <w:r/>
            <w:r>
              <w:rPr>
                <w:rFonts w:ascii="Arial" w:hAnsi="Arial"/>
                <w:b w:val="0"/>
                <w:sz w:val="16"/>
              </w:rPr>
              <w:t>Monitor ESG KPIs and targets</w:t>
            </w:r>
          </w:p>
        </w:tc>
      </w:tr>
      <w:tr>
        <w:tc>
          <w:tcPr>
            <w:tcW w:type="dxa" w:w="2880"/>
            <w:shd w:val="clear" w:fill="F4F7FB"/>
          </w:tcPr>
          <w:p>
            <w:r/>
            <w:r>
              <w:rPr>
                <w:rFonts w:ascii="Arial" w:hAnsi="Arial"/>
                <w:b w:val="0"/>
                <w:sz w:val="16"/>
              </w:rPr>
              <w:t>Risk</w:t>
            </w:r>
          </w:p>
        </w:tc>
        <w:tc>
          <w:tcPr>
            <w:tcW w:type="dxa" w:w="8640"/>
            <w:shd w:val="clear" w:fill="F4F7FB"/>
          </w:tcPr>
          <w:p>
            <w:r/>
            <w:r>
              <w:rPr>
                <w:rFonts w:ascii="Arial" w:hAnsi="Arial"/>
                <w:b w:val="0"/>
                <w:sz w:val="16"/>
              </w:rPr>
              <w:t>Oversee ESG and climate risk</w:t>
            </w:r>
          </w:p>
        </w:tc>
      </w:tr>
      <w:tr>
        <w:tc>
          <w:tcPr>
            <w:tcW w:type="dxa" w:w="2880"/>
          </w:tcPr>
          <w:p>
            <w:r/>
            <w:r>
              <w:rPr>
                <w:rFonts w:ascii="Arial" w:hAnsi="Arial"/>
                <w:b w:val="0"/>
                <w:sz w:val="16"/>
              </w:rPr>
              <w:t>Disclosure</w:t>
            </w:r>
          </w:p>
        </w:tc>
        <w:tc>
          <w:tcPr>
            <w:tcW w:type="dxa" w:w="8640"/>
          </w:tcPr>
          <w:p>
            <w:r/>
            <w:r>
              <w:rPr>
                <w:rFonts w:ascii="Arial" w:hAnsi="Arial"/>
                <w:b w:val="0"/>
                <w:sz w:val="16"/>
              </w:rPr>
              <w:t>Review and recommend ESG disclosures</w:t>
            </w:r>
          </w:p>
        </w:tc>
      </w:tr>
      <w:tr>
        <w:tc>
          <w:tcPr>
            <w:tcW w:type="dxa" w:w="2880"/>
            <w:shd w:val="clear" w:fill="F4F7FB"/>
          </w:tcPr>
          <w:p>
            <w:r/>
            <w:r>
              <w:rPr>
                <w:rFonts w:ascii="Arial" w:hAnsi="Arial"/>
                <w:b w:val="0"/>
                <w:sz w:val="16"/>
              </w:rPr>
              <w:t>Assurance</w:t>
            </w:r>
          </w:p>
        </w:tc>
        <w:tc>
          <w:tcPr>
            <w:tcW w:type="dxa" w:w="8640"/>
            <w:shd w:val="clear" w:fill="F4F7FB"/>
          </w:tcPr>
          <w:p>
            <w:r/>
            <w:r>
              <w:rPr>
                <w:rFonts w:ascii="Arial" w:hAnsi="Arial"/>
                <w:b w:val="0"/>
                <w:sz w:val="16"/>
              </w:rPr>
              <w:t>Oversee ESG data quality and assurance</w:t>
            </w:r>
          </w:p>
        </w:tc>
      </w:tr>
    </w:tbl>
    <w:p>
      <w:pPr>
        <w:pStyle w:val="Heading1"/>
      </w:pPr>
      <w:r>
        <w:t>5. Meetings &amp; Reporting</w:t>
      </w:r>
    </w:p>
    <w:p>
      <w:r>
        <w:rPr>
          <w:b w:val="0"/>
          <w:i w:val="0"/>
          <w:sz w:val="20"/>
        </w:rPr>
        <w:t>The Committee meets at least [quarterly]. It reports to the board after each meeting and reviews its terms of reference annually.</w:t>
      </w:r>
    </w:p>
    <w:p>
      <w:pPr>
        <w:pStyle w:val="Heading1"/>
      </w:pPr>
      <w:r>
        <w:t>6. RAG Reporting Example</w:t>
      </w:r>
    </w:p>
    <w:tbl>
      <w:tblPr>
        <w:tblStyle w:val="TableGrid"/>
        <w:tblW w:type="auto" w:w="0"/>
        <w:jc w:val="center"/>
        <w:tblLook w:firstColumn="1" w:firstRow="1" w:lastColumn="0" w:lastRow="0" w:noHBand="0" w:noVBand="1" w:val="04A0"/>
      </w:tblPr>
      <w:tblGrid>
        <w:gridCol w:w="3264"/>
        <w:gridCol w:w="3264"/>
        <w:gridCol w:w="3264"/>
      </w:tblGrid>
      <w:tr>
        <w:tc>
          <w:tcPr>
            <w:tcW w:type="dxa" w:w="2880"/>
            <w:shd w:val="clear" w:fill="1B4D89"/>
          </w:tcPr>
          <w:p>
            <w:r/>
            <w:r>
              <w:rPr>
                <w:rFonts w:ascii="Arial" w:hAnsi="Arial"/>
                <w:b/>
                <w:color w:val="FFFFFF"/>
                <w:sz w:val="16"/>
              </w:rPr>
              <w:t>Area</w:t>
            </w:r>
          </w:p>
        </w:tc>
        <w:tc>
          <w:tcPr>
            <w:tcW w:type="dxa" w:w="1440"/>
            <w:shd w:val="clear" w:fill="1B4D89"/>
          </w:tcPr>
          <w:p>
            <w:r/>
            <w:r>
              <w:rPr>
                <w:rFonts w:ascii="Arial" w:hAnsi="Arial"/>
                <w:b/>
                <w:color w:val="FFFFFF"/>
                <w:sz w:val="16"/>
              </w:rPr>
              <w:t>Status</w:t>
            </w:r>
          </w:p>
        </w:tc>
        <w:tc>
          <w:tcPr>
            <w:tcW w:type="dxa" w:w="7200"/>
            <w:shd w:val="clear" w:fill="1B4D89"/>
          </w:tcPr>
          <w:p>
            <w:r/>
            <w:r>
              <w:rPr>
                <w:rFonts w:ascii="Arial" w:hAnsi="Arial"/>
                <w:b/>
                <w:color w:val="FFFFFF"/>
                <w:sz w:val="16"/>
              </w:rPr>
              <w:t>Commentary</w:t>
            </w:r>
          </w:p>
        </w:tc>
      </w:tr>
      <w:tr>
        <w:tc>
          <w:tcPr>
            <w:tcW w:type="dxa" w:w="2880"/>
          </w:tcPr>
          <w:p>
            <w:r/>
            <w:r>
              <w:rPr>
                <w:rFonts w:ascii="Arial" w:hAnsi="Arial"/>
                <w:b w:val="0"/>
                <w:sz w:val="16"/>
              </w:rPr>
              <w:t>ESG strategy</w:t>
            </w:r>
          </w:p>
        </w:tc>
        <w:tc>
          <w:tcPr>
            <w:tcW w:type="dxa" w:w="1440"/>
            <w:shd w:val="clear" w:fill="E08A2B"/>
          </w:tcPr>
          <w:p>
            <w:pPr>
              <w:jc w:val="center"/>
            </w:pPr>
            <w:r/>
            <w:r>
              <w:rPr>
                <w:rFonts w:ascii="Arial" w:hAnsi="Arial"/>
                <w:b/>
                <w:color w:val="FFFFFF"/>
                <w:sz w:val="16"/>
              </w:rPr>
              <w:t>Amber</w:t>
            </w:r>
          </w:p>
        </w:tc>
        <w:tc>
          <w:tcPr>
            <w:tcW w:type="dxa" w:w="7200"/>
          </w:tcPr>
          <w:p>
            <w:r/>
            <w:r>
              <w:rPr>
                <w:rFonts w:ascii="Arial" w:hAnsi="Arial"/>
                <w:b w:val="0"/>
                <w:sz w:val="16"/>
              </w:rPr>
              <w:t>[commentary]</w:t>
            </w:r>
          </w:p>
        </w:tc>
      </w:tr>
      <w:tr>
        <w:tc>
          <w:tcPr>
            <w:tcW w:type="dxa" w:w="2880"/>
            <w:shd w:val="clear" w:fill="F4F7FB"/>
          </w:tcPr>
          <w:p>
            <w:r/>
            <w:r>
              <w:rPr>
                <w:rFonts w:ascii="Arial" w:hAnsi="Arial"/>
                <w:b w:val="0"/>
                <w:sz w:val="16"/>
              </w:rPr>
              <w:t>Climate &amp; net zero</w:t>
            </w:r>
          </w:p>
        </w:tc>
        <w:tc>
          <w:tcPr>
            <w:tcW w:type="dxa" w:w="1440"/>
            <w:shd w:val="clear" w:fill="F4F7FB"/>
            <w:shd w:val="clear" w:fill="E08A2B"/>
          </w:tcPr>
          <w:p>
            <w:pPr>
              <w:jc w:val="center"/>
            </w:pPr>
            <w:r/>
            <w:r>
              <w:rPr>
                <w:rFonts w:ascii="Arial" w:hAnsi="Arial"/>
                <w:b/>
                <w:color w:val="FFFFFF"/>
                <w:sz w:val="16"/>
              </w:rPr>
              <w:t>Amber</w:t>
            </w:r>
          </w:p>
        </w:tc>
        <w:tc>
          <w:tcPr>
            <w:tcW w:type="dxa" w:w="7200"/>
            <w:shd w:val="clear" w:fill="F4F7FB"/>
          </w:tcPr>
          <w:p>
            <w:r/>
            <w:r>
              <w:rPr>
                <w:rFonts w:ascii="Arial" w:hAnsi="Arial"/>
                <w:b w:val="0"/>
                <w:sz w:val="16"/>
              </w:rPr>
              <w:t>[commentary]</w:t>
            </w:r>
          </w:p>
        </w:tc>
      </w:tr>
      <w:tr>
        <w:tc>
          <w:tcPr>
            <w:tcW w:type="dxa" w:w="2880"/>
          </w:tcPr>
          <w:p>
            <w:r/>
            <w:r>
              <w:rPr>
                <w:rFonts w:ascii="Arial" w:hAnsi="Arial"/>
                <w:b w:val="0"/>
                <w:sz w:val="16"/>
              </w:rPr>
              <w:t>ESG risk</w:t>
            </w:r>
          </w:p>
        </w:tc>
        <w:tc>
          <w:tcPr>
            <w:tcW w:type="dxa" w:w="1440"/>
            <w:shd w:val="clear" w:fill="E08A2B"/>
          </w:tcPr>
          <w:p>
            <w:pPr>
              <w:jc w:val="center"/>
            </w:pPr>
            <w:r/>
            <w:r>
              <w:rPr>
                <w:rFonts w:ascii="Arial" w:hAnsi="Arial"/>
                <w:b/>
                <w:color w:val="FFFFFF"/>
                <w:sz w:val="16"/>
              </w:rPr>
              <w:t>Amber</w:t>
            </w:r>
          </w:p>
        </w:tc>
        <w:tc>
          <w:tcPr>
            <w:tcW w:type="dxa" w:w="7200"/>
          </w:tcPr>
          <w:p>
            <w:r/>
            <w:r>
              <w:rPr>
                <w:rFonts w:ascii="Arial" w:hAnsi="Arial"/>
                <w:b w:val="0"/>
                <w:sz w:val="16"/>
              </w:rPr>
              <w:t>[commentary]</w:t>
            </w:r>
          </w:p>
        </w:tc>
      </w:tr>
      <w:tr>
        <w:tc>
          <w:tcPr>
            <w:tcW w:type="dxa" w:w="2880"/>
            <w:shd w:val="clear" w:fill="F4F7FB"/>
          </w:tcPr>
          <w:p>
            <w:r/>
            <w:r>
              <w:rPr>
                <w:rFonts w:ascii="Arial" w:hAnsi="Arial"/>
                <w:b w:val="0"/>
                <w:sz w:val="16"/>
              </w:rPr>
              <w:t>Disclosure</w:t>
            </w:r>
          </w:p>
        </w:tc>
        <w:tc>
          <w:tcPr>
            <w:tcW w:type="dxa" w:w="1440"/>
            <w:shd w:val="clear" w:fill="F4F7FB"/>
            <w:shd w:val="clear" w:fill="E08A2B"/>
          </w:tcPr>
          <w:p>
            <w:pPr>
              <w:jc w:val="center"/>
            </w:pPr>
            <w:r/>
            <w:r>
              <w:rPr>
                <w:rFonts w:ascii="Arial" w:hAnsi="Arial"/>
                <w:b/>
                <w:color w:val="FFFFFF"/>
                <w:sz w:val="16"/>
              </w:rPr>
              <w:t>Amber</w:t>
            </w:r>
          </w:p>
        </w:tc>
        <w:tc>
          <w:tcPr>
            <w:tcW w:type="dxa" w:w="7200"/>
            <w:shd w:val="clear" w:fill="F4F7FB"/>
          </w:tcPr>
          <w:p>
            <w:r/>
            <w:r>
              <w:rPr>
                <w:rFonts w:ascii="Arial" w:hAnsi="Arial"/>
                <w:b w:val="0"/>
                <w:sz w:val="16"/>
              </w:rPr>
              <w:t>[commentary]</w:t>
            </w:r>
          </w:p>
        </w:tc>
      </w:tr>
    </w:tbl>
    <w:p>
      <w:pPr>
        <w:pStyle w:val="Heading2"/>
      </w:pPr>
      <w:r>
        <w:t>Notes &amp; Disclaimer</w:t>
      </w:r>
    </w:p>
    <w:p>
      <w:r>
        <w:rPr>
          <w:b w:val="0"/>
          <w:i/>
          <w:sz w:val="18"/>
        </w:rPr>
        <w:t>This resource is a professional ESG and sustainability template, not assurance, legal, investment or regulatory advice. It is anchored to GRI, ISSB (IFRS S1 &amp; S2), TCFD, SASB, the UN SDGs, the UN Global Compact, the GHG Protocol, ISO 14001, ISO 26000 and CDP, and to FRCN, NGX, SEC, the CBN Sustainable Banking Principles and NAICOM — referenced by name only, with no copyrighted standard content reproduced. Calibrate topics, metrics, targets, factors and thresholds to your organisation and confirm requirements against the current standards and applicable regulation. Bracketed fields [like this] and sample entries are editable, illustrative placeholders; emission factors and figures are not authoritative.</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