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b/>
          <w:color w:val="1B4D89"/>
          <w:sz w:val="24"/>
        </w:rPr>
        <w:t>OUTLIERS CFO EXCELLENCE CENTRE™</w:t>
      </w:r>
    </w:p>
    <w:p>
      <w:pPr>
        <w:jc w:val="center"/>
      </w:pPr>
      <w:r>
        <w:rPr>
          <w:b/>
          <w:color w:val="10243F"/>
          <w:sz w:val="52"/>
        </w:rPr>
        <w:t>Transfer Pricing Toolkit</w:t>
      </w:r>
    </w:p>
    <w:p>
      <w:pPr>
        <w:jc w:val="center"/>
      </w:pPr>
      <w:r>
        <w:rPr>
          <w:color w:val="555555"/>
          <w:sz w:val="26"/>
        </w:rPr>
        <w:t>Managing Related-Party Transactions to an Arm's-Length Standard</w:t>
      </w:r>
    </w:p>
    <w:p/>
    <w:p>
      <w:pPr>
        <w:jc w:val="center"/>
      </w:pPr>
      <w:r>
        <w:rPr>
          <w:color w:val="555555"/>
          <w:sz w:val="20"/>
        </w:rPr>
        <w:t>Tax Excellence  ·  Tax Lead / CFO  ·  Access Tier T2  ·  Edition 2026</w:t>
      </w:r>
    </w:p>
    <w:p>
      <w:pPr>
        <w:jc w:val="center"/>
      </w:pPr>
      <w:r>
        <w:rPr>
          <w:i/>
          <w:color w:val="555555"/>
          <w:sz w:val="18"/>
        </w:rPr>
        <w:t>Regime: Nigeria Tax Act 2025 (NTA 2025) &amp; Nigeria Tax Administration Act 2025 — administered by the Nigeria Revenue Service (NRS)</w:t>
      </w:r>
    </w:p>
    <w:p>
      <w:r>
        <w:br w:type="page"/>
      </w:r>
    </w:p>
    <w:p>
      <w:r>
        <w:rPr>
          <w:b/>
          <w:color w:val="B23A48"/>
          <w:sz w:val="21"/>
        </w:rPr>
        <w:t>⚠ IMPORTANT — VERIFICATION &amp; LEGAL STATUS</w:t>
      </w:r>
    </w:p>
    <w:p>
      <w:r>
        <w:rPr>
          <w:i/>
          <w:sz w:val="18"/>
        </w:rPr>
        <w:t>This resource is implementation content for management use; it is NOT legal or tax advice and is not a substitute for a licensed Nigerian tax practitioner (CITN). The Nigeria Tax Act 2025 took effect on 1 January 2026 and continues to be clarified by NRS regulations and circulars. Every rate, threshold, band and date stated here is INDICATIVE and must be verified against the enacted Acts and current NRS / State IRS guidance before reliance. The Nigeria Revenue Service (NRS) replaces the FIRS from 2026.</w:t>
      </w:r>
    </w:p>
    <w:p>
      <w:pPr>
        <w:pStyle w:val="Heading1"/>
      </w:pPr>
      <w:r>
        <w:t>1. Purpose &amp; Scope</w:t>
      </w:r>
    </w:p>
    <w:p>
      <w:r>
        <w:rPr>
          <w:sz w:val="21"/>
        </w:rPr>
        <w:t>This toolkit equips a Nigerian enterprise to identify related-party transactions, price them at arm's length, document the basis, and file the required declarations — reducing the risk of transfer-pricing (TP) adjustments, penalties and double taxation. It aligns with the FIRS/NRS Transfer Pricing Regulations and OECD principles.</w:t>
      </w:r>
    </w:p>
    <w:p>
      <w:pPr>
        <w:pStyle w:val="Heading1"/>
      </w:pPr>
      <w:r>
        <w:t>2. Step-by-Step Process</w:t>
      </w:r>
    </w:p>
    <w:p>
      <w:pPr>
        <w:pStyle w:val="Heading3"/>
      </w:pPr>
      <w:r>
        <w:t>Step 1: Identify related parties</w:t>
      </w:r>
    </w:p>
    <w:p>
      <w:r>
        <w:rPr>
          <w:sz w:val="20"/>
        </w:rPr>
        <w:t>Map all entities and persons connected by control or common ownership.</w:t>
      </w:r>
    </w:p>
    <w:p>
      <w:pPr>
        <w:pStyle w:val="Heading3"/>
      </w:pPr>
      <w:r>
        <w:t>Step 2: Inventory controlled transactions</w:t>
      </w:r>
    </w:p>
    <w:p>
      <w:r>
        <w:rPr>
          <w:sz w:val="20"/>
        </w:rPr>
        <w:t>List every intra-group flow: goods, services, royalties/IP, loans/guarantees, cost-sharing.</w:t>
      </w:r>
    </w:p>
    <w:p>
      <w:pPr>
        <w:pStyle w:val="Heading3"/>
      </w:pPr>
      <w:r>
        <w:t>Step 3: Characterise &amp; functionally analyse</w:t>
      </w:r>
    </w:p>
    <w:p>
      <w:r>
        <w:rPr>
          <w:sz w:val="20"/>
        </w:rPr>
        <w:t>Document functions performed, assets used and risks assumed by each party (FAR analysis).</w:t>
      </w:r>
    </w:p>
    <w:p>
      <w:pPr>
        <w:pStyle w:val="Heading3"/>
      </w:pPr>
      <w:r>
        <w:t>Step 4: Select the method</w:t>
      </w:r>
    </w:p>
    <w:p>
      <w:r>
        <w:rPr>
          <w:sz w:val="20"/>
        </w:rPr>
        <w:t>Choose the most appropriate method (see §4) for each transaction.</w:t>
      </w:r>
    </w:p>
    <w:p>
      <w:pPr>
        <w:pStyle w:val="Heading3"/>
      </w:pPr>
      <w:r>
        <w:t>Step 5: Benchmark</w:t>
      </w:r>
    </w:p>
    <w:p>
      <w:r>
        <w:rPr>
          <w:sz w:val="20"/>
        </w:rPr>
        <w:t>Establish an arm's-length range using comparable data; document the search.</w:t>
      </w:r>
    </w:p>
    <w:p>
      <w:pPr>
        <w:pStyle w:val="Heading3"/>
      </w:pPr>
      <w:r>
        <w:t>Step 6: Set/adjust pricing</w:t>
      </w:r>
    </w:p>
    <w:p>
      <w:r>
        <w:rPr>
          <w:sz w:val="20"/>
        </w:rPr>
        <w:t>Align intercompany pricing to the arm's-length range; make year-end adjustments if needed.</w:t>
      </w:r>
    </w:p>
    <w:p>
      <w:pPr>
        <w:pStyle w:val="Heading3"/>
      </w:pPr>
      <w:r>
        <w:t>Step 7: Document</w:t>
      </w:r>
    </w:p>
    <w:p>
      <w:r>
        <w:rPr>
          <w:sz w:val="20"/>
        </w:rPr>
        <w:t>Prepare Master File, Local File and (if in scope) CbCR contemporaneously.</w:t>
      </w:r>
    </w:p>
    <w:p>
      <w:pPr>
        <w:pStyle w:val="Heading3"/>
      </w:pPr>
      <w:r>
        <w:t>Step 8: Declare &amp; disclose</w:t>
      </w:r>
    </w:p>
    <w:p>
      <w:r>
        <w:rPr>
          <w:sz w:val="20"/>
        </w:rPr>
        <w:t>File the TP declaration and disclosure forms with the annual return.</w:t>
      </w:r>
    </w:p>
    <w:p>
      <w:pPr>
        <w:pStyle w:val="Heading3"/>
      </w:pPr>
      <w:r>
        <w:t>Step 9: Monitor</w:t>
      </w:r>
    </w:p>
    <w:p>
      <w:r>
        <w:rPr>
          <w:sz w:val="20"/>
        </w:rPr>
        <w:t>Review annually and on material change; retain evidence for audit.</w:t>
      </w:r>
    </w:p>
    <w:p>
      <w:pPr>
        <w:pStyle w:val="Heading1"/>
      </w:pPr>
      <w:r>
        <w:t>3. Related-Party &amp; Transaction Mapping Register (template)</w:t>
      </w:r>
    </w:p>
    <w:tbl>
      <w:tblPr>
        <w:tblStyle w:val="TableGrid"/>
        <w:tblW w:type="auto" w:w="0"/>
        <w:jc w:val="center"/>
        <w:tblLook w:firstColumn="1" w:firstRow="1" w:lastColumn="0" w:lastRow="0" w:noHBand="0" w:noVBand="1" w:val="04A0"/>
      </w:tblPr>
      <w:tblGrid>
        <w:gridCol w:w="1378"/>
        <w:gridCol w:w="1378"/>
        <w:gridCol w:w="1378"/>
        <w:gridCol w:w="1378"/>
        <w:gridCol w:w="1378"/>
        <w:gridCol w:w="1378"/>
        <w:gridCol w:w="1378"/>
      </w:tblGrid>
      <w:tr>
        <w:tc>
          <w:tcPr>
            <w:tcW w:type="dxa" w:w="2160"/>
            <w:shd w:val="clear" w:fill="1B4D89"/>
          </w:tcPr>
          <w:p>
            <w:r/>
            <w:r>
              <w:rPr>
                <w:rFonts w:ascii="Arial" w:hAnsi="Arial"/>
                <w:b/>
                <w:color w:val="FFFFFF"/>
                <w:sz w:val="18"/>
              </w:rPr>
              <w:t>Related Party</w:t>
            </w:r>
          </w:p>
        </w:tc>
        <w:tc>
          <w:tcPr>
            <w:tcW w:type="dxa" w:w="1728"/>
            <w:shd w:val="clear" w:fill="1B4D89"/>
          </w:tcPr>
          <w:p>
            <w:r/>
            <w:r>
              <w:rPr>
                <w:rFonts w:ascii="Arial" w:hAnsi="Arial"/>
                <w:b/>
                <w:color w:val="FFFFFF"/>
                <w:sz w:val="18"/>
              </w:rPr>
              <w:t>Relationship</w:t>
            </w:r>
          </w:p>
        </w:tc>
        <w:tc>
          <w:tcPr>
            <w:tcW w:type="dxa" w:w="1584"/>
            <w:shd w:val="clear" w:fill="1B4D89"/>
          </w:tcPr>
          <w:p>
            <w:r/>
            <w:r>
              <w:rPr>
                <w:rFonts w:ascii="Arial" w:hAnsi="Arial"/>
                <w:b/>
                <w:color w:val="FFFFFF"/>
                <w:sz w:val="18"/>
              </w:rPr>
              <w:t>Jurisdiction</w:t>
            </w:r>
          </w:p>
        </w:tc>
        <w:tc>
          <w:tcPr>
            <w:tcW w:type="dxa" w:w="2160"/>
            <w:shd w:val="clear" w:fill="1B4D89"/>
          </w:tcPr>
          <w:p>
            <w:r/>
            <w:r>
              <w:rPr>
                <w:rFonts w:ascii="Arial" w:hAnsi="Arial"/>
                <w:b/>
                <w:color w:val="FFFFFF"/>
                <w:sz w:val="18"/>
              </w:rPr>
              <w:t>Transaction Type</w:t>
            </w:r>
          </w:p>
        </w:tc>
        <w:tc>
          <w:tcPr>
            <w:tcW w:type="dxa" w:w="1728"/>
            <w:shd w:val="clear" w:fill="1B4D89"/>
          </w:tcPr>
          <w:p>
            <w:r/>
            <w:r>
              <w:rPr>
                <w:rFonts w:ascii="Arial" w:hAnsi="Arial"/>
                <w:b/>
                <w:color w:val="FFFFFF"/>
                <w:sz w:val="18"/>
              </w:rPr>
              <w:t>Annual Value (₦)</w:t>
            </w:r>
          </w:p>
        </w:tc>
        <w:tc>
          <w:tcPr>
            <w:tcW w:type="dxa" w:w="1152"/>
            <w:shd w:val="clear" w:fill="1B4D89"/>
          </w:tcPr>
          <w:p>
            <w:r/>
            <w:r>
              <w:rPr>
                <w:rFonts w:ascii="Arial" w:hAnsi="Arial"/>
                <w:b/>
                <w:color w:val="FFFFFF"/>
                <w:sz w:val="18"/>
              </w:rPr>
              <w:t>Method</w:t>
            </w:r>
          </w:p>
        </w:tc>
        <w:tc>
          <w:tcPr>
            <w:tcW w:type="dxa" w:w="2448"/>
            <w:shd w:val="clear" w:fill="1B4D89"/>
          </w:tcPr>
          <w:p>
            <w:r/>
            <w:r>
              <w:rPr>
                <w:rFonts w:ascii="Arial" w:hAnsi="Arial"/>
                <w:b/>
                <w:color w:val="FFFFFF"/>
                <w:sz w:val="18"/>
              </w:rPr>
              <w:t>Arm's-length basis</w:t>
            </w:r>
          </w:p>
        </w:tc>
      </w:tr>
      <w:tr>
        <w:tc>
          <w:tcPr>
            <w:tcW w:type="dxa" w:w="2160"/>
          </w:tcPr>
          <w:p>
            <w:r/>
            <w:r>
              <w:rPr>
                <w:rFonts w:ascii="Arial" w:hAnsi="Arial"/>
                <w:b w:val="0"/>
                <w:sz w:val="18"/>
              </w:rPr>
              <w:t>ParentCo Ltd</w:t>
            </w:r>
          </w:p>
        </w:tc>
        <w:tc>
          <w:tcPr>
            <w:tcW w:type="dxa" w:w="1728"/>
          </w:tcPr>
          <w:p>
            <w:r/>
            <w:r>
              <w:rPr>
                <w:rFonts w:ascii="Arial" w:hAnsi="Arial"/>
                <w:b w:val="0"/>
                <w:sz w:val="18"/>
              </w:rPr>
              <w:t>Parent</w:t>
            </w:r>
          </w:p>
        </w:tc>
        <w:tc>
          <w:tcPr>
            <w:tcW w:type="dxa" w:w="1584"/>
          </w:tcPr>
          <w:p>
            <w:r/>
            <w:r>
              <w:rPr>
                <w:rFonts w:ascii="Arial" w:hAnsi="Arial"/>
                <w:b w:val="0"/>
                <w:sz w:val="18"/>
              </w:rPr>
              <w:t>UK</w:t>
            </w:r>
          </w:p>
        </w:tc>
        <w:tc>
          <w:tcPr>
            <w:tcW w:type="dxa" w:w="2160"/>
          </w:tcPr>
          <w:p>
            <w:r/>
            <w:r>
              <w:rPr>
                <w:rFonts w:ascii="Arial" w:hAnsi="Arial"/>
                <w:b w:val="0"/>
                <w:sz w:val="18"/>
              </w:rPr>
              <w:t>Management services</w:t>
            </w:r>
          </w:p>
        </w:tc>
        <w:tc>
          <w:tcPr>
            <w:tcW w:type="dxa" w:w="1728"/>
          </w:tcPr>
          <w:p>
            <w:r/>
            <w:r>
              <w:rPr>
                <w:rFonts w:ascii="Arial" w:hAnsi="Arial"/>
                <w:b w:val="0"/>
                <w:sz w:val="18"/>
              </w:rPr>
              <w:t>320,000,000</w:t>
            </w:r>
          </w:p>
        </w:tc>
        <w:tc>
          <w:tcPr>
            <w:tcW w:type="dxa" w:w="1152"/>
          </w:tcPr>
          <w:p>
            <w:r/>
            <w:r>
              <w:rPr>
                <w:rFonts w:ascii="Arial" w:hAnsi="Arial"/>
                <w:b w:val="0"/>
                <w:sz w:val="18"/>
              </w:rPr>
              <w:t>TNMM</w:t>
            </w:r>
          </w:p>
        </w:tc>
        <w:tc>
          <w:tcPr>
            <w:tcW w:type="dxa" w:w="2448"/>
          </w:tcPr>
          <w:p>
            <w:r/>
            <w:r>
              <w:rPr>
                <w:rFonts w:ascii="Arial" w:hAnsi="Arial"/>
                <w:b w:val="0"/>
                <w:sz w:val="18"/>
              </w:rPr>
              <w:t>Cost + 8% (benchmarked)</w:t>
            </w:r>
          </w:p>
        </w:tc>
      </w:tr>
      <w:tr>
        <w:tc>
          <w:tcPr>
            <w:tcW w:type="dxa" w:w="2160"/>
            <w:shd w:val="clear" w:fill="F6F8FB"/>
          </w:tcPr>
          <w:p>
            <w:r/>
            <w:r>
              <w:rPr>
                <w:rFonts w:ascii="Arial" w:hAnsi="Arial"/>
                <w:b w:val="0"/>
                <w:sz w:val="18"/>
              </w:rPr>
              <w:t>SisterCo BV</w:t>
            </w:r>
          </w:p>
        </w:tc>
        <w:tc>
          <w:tcPr>
            <w:tcW w:type="dxa" w:w="1728"/>
            <w:shd w:val="clear" w:fill="F6F8FB"/>
          </w:tcPr>
          <w:p>
            <w:r/>
            <w:r>
              <w:rPr>
                <w:rFonts w:ascii="Arial" w:hAnsi="Arial"/>
                <w:b w:val="0"/>
                <w:sz w:val="18"/>
              </w:rPr>
              <w:t>Common control</w:t>
            </w:r>
          </w:p>
        </w:tc>
        <w:tc>
          <w:tcPr>
            <w:tcW w:type="dxa" w:w="1584"/>
            <w:shd w:val="clear" w:fill="F6F8FB"/>
          </w:tcPr>
          <w:p>
            <w:r/>
            <w:r>
              <w:rPr>
                <w:rFonts w:ascii="Arial" w:hAnsi="Arial"/>
                <w:b w:val="0"/>
                <w:sz w:val="18"/>
              </w:rPr>
              <w:t>Netherlands</w:t>
            </w:r>
          </w:p>
        </w:tc>
        <w:tc>
          <w:tcPr>
            <w:tcW w:type="dxa" w:w="2160"/>
            <w:shd w:val="clear" w:fill="F6F8FB"/>
          </w:tcPr>
          <w:p>
            <w:r/>
            <w:r>
              <w:rPr>
                <w:rFonts w:ascii="Arial" w:hAnsi="Arial"/>
                <w:b w:val="0"/>
                <w:sz w:val="18"/>
              </w:rPr>
              <w:t>Royalty — brand</w:t>
            </w:r>
          </w:p>
        </w:tc>
        <w:tc>
          <w:tcPr>
            <w:tcW w:type="dxa" w:w="1728"/>
            <w:shd w:val="clear" w:fill="F6F8FB"/>
          </w:tcPr>
          <w:p>
            <w:r/>
            <w:r>
              <w:rPr>
                <w:rFonts w:ascii="Arial" w:hAnsi="Arial"/>
                <w:b w:val="0"/>
                <w:sz w:val="18"/>
              </w:rPr>
              <w:t>150,000,000</w:t>
            </w:r>
          </w:p>
        </w:tc>
        <w:tc>
          <w:tcPr>
            <w:tcW w:type="dxa" w:w="1152"/>
            <w:shd w:val="clear" w:fill="F6F8FB"/>
          </w:tcPr>
          <w:p>
            <w:r/>
            <w:r>
              <w:rPr>
                <w:rFonts w:ascii="Arial" w:hAnsi="Arial"/>
                <w:b w:val="0"/>
                <w:sz w:val="18"/>
              </w:rPr>
              <w:t>CUP</w:t>
            </w:r>
          </w:p>
        </w:tc>
        <w:tc>
          <w:tcPr>
            <w:tcW w:type="dxa" w:w="2448"/>
            <w:shd w:val="clear" w:fill="F6F8FB"/>
          </w:tcPr>
          <w:p>
            <w:r/>
            <w:r>
              <w:rPr>
                <w:rFonts w:ascii="Arial" w:hAnsi="Arial"/>
                <w:b w:val="0"/>
                <w:sz w:val="18"/>
              </w:rPr>
              <w:t>3% of net sales (comparable licences)</w:t>
            </w:r>
          </w:p>
        </w:tc>
      </w:tr>
      <w:tr>
        <w:tc>
          <w:tcPr>
            <w:tcW w:type="dxa" w:w="2160"/>
          </w:tcPr>
          <w:p>
            <w:r/>
            <w:r>
              <w:rPr>
                <w:rFonts w:ascii="Arial" w:hAnsi="Arial"/>
                <w:b w:val="0"/>
                <w:sz w:val="18"/>
              </w:rPr>
              <w:t>GroupFin Ltd</w:t>
            </w:r>
          </w:p>
        </w:tc>
        <w:tc>
          <w:tcPr>
            <w:tcW w:type="dxa" w:w="1728"/>
          </w:tcPr>
          <w:p>
            <w:r/>
            <w:r>
              <w:rPr>
                <w:rFonts w:ascii="Arial" w:hAnsi="Arial"/>
                <w:b w:val="0"/>
                <w:sz w:val="18"/>
              </w:rPr>
              <w:t>Common control</w:t>
            </w:r>
          </w:p>
        </w:tc>
        <w:tc>
          <w:tcPr>
            <w:tcW w:type="dxa" w:w="1584"/>
          </w:tcPr>
          <w:p>
            <w:r/>
            <w:r>
              <w:rPr>
                <w:rFonts w:ascii="Arial" w:hAnsi="Arial"/>
                <w:b w:val="0"/>
                <w:sz w:val="18"/>
              </w:rPr>
              <w:t>Mauritius</w:t>
            </w:r>
          </w:p>
        </w:tc>
        <w:tc>
          <w:tcPr>
            <w:tcW w:type="dxa" w:w="2160"/>
          </w:tcPr>
          <w:p>
            <w:r/>
            <w:r>
              <w:rPr>
                <w:rFonts w:ascii="Arial" w:hAnsi="Arial"/>
                <w:b w:val="0"/>
                <w:sz w:val="18"/>
              </w:rPr>
              <w:t>Intercompany loan</w:t>
            </w:r>
          </w:p>
        </w:tc>
        <w:tc>
          <w:tcPr>
            <w:tcW w:type="dxa" w:w="1728"/>
          </w:tcPr>
          <w:p>
            <w:r/>
            <w:r>
              <w:rPr>
                <w:rFonts w:ascii="Arial" w:hAnsi="Arial"/>
                <w:b w:val="0"/>
                <w:sz w:val="18"/>
              </w:rPr>
              <w:t>€2.0m</w:t>
            </w:r>
          </w:p>
        </w:tc>
        <w:tc>
          <w:tcPr>
            <w:tcW w:type="dxa" w:w="1152"/>
          </w:tcPr>
          <w:p>
            <w:r/>
            <w:r>
              <w:rPr>
                <w:rFonts w:ascii="Arial" w:hAnsi="Arial"/>
                <w:b w:val="0"/>
                <w:sz w:val="18"/>
              </w:rPr>
              <w:t>CUP</w:t>
            </w:r>
          </w:p>
        </w:tc>
        <w:tc>
          <w:tcPr>
            <w:tcW w:type="dxa" w:w="2448"/>
          </w:tcPr>
          <w:p>
            <w:r/>
            <w:r>
              <w:rPr>
                <w:rFonts w:ascii="Arial" w:hAnsi="Arial"/>
                <w:b w:val="0"/>
                <w:sz w:val="18"/>
              </w:rPr>
              <w:t>Arm's-length interest margin</w:t>
            </w:r>
          </w:p>
        </w:tc>
      </w:tr>
      <w:tr>
        <w:tc>
          <w:tcPr>
            <w:tcW w:type="dxa" w:w="2160"/>
            <w:shd w:val="clear" w:fill="F6F8FB"/>
          </w:tcPr>
          <w:p>
            <w:r/>
            <w:r>
              <w:rPr>
                <w:rFonts w:ascii="Arial" w:hAnsi="Arial"/>
                <w:b w:val="0"/>
                <w:sz w:val="18"/>
              </w:rPr>
              <w:t>[add]</w:t>
            </w:r>
          </w:p>
        </w:tc>
        <w:tc>
          <w:tcPr>
            <w:tcW w:type="dxa" w:w="1728"/>
            <w:shd w:val="clear" w:fill="F6F8FB"/>
          </w:tcPr>
          <w:p>
            <w:r/>
            <w:r>
              <w:rPr>
                <w:rFonts w:ascii="Arial" w:hAnsi="Arial"/>
                <w:b w:val="0"/>
                <w:sz w:val="18"/>
              </w:rPr>
            </w:r>
          </w:p>
        </w:tc>
        <w:tc>
          <w:tcPr>
            <w:tcW w:type="dxa" w:w="1584"/>
            <w:shd w:val="clear" w:fill="F6F8FB"/>
          </w:tcPr>
          <w:p>
            <w:r/>
            <w:r>
              <w:rPr>
                <w:rFonts w:ascii="Arial" w:hAnsi="Arial"/>
                <w:b w:val="0"/>
                <w:sz w:val="18"/>
              </w:rPr>
            </w:r>
          </w:p>
        </w:tc>
        <w:tc>
          <w:tcPr>
            <w:tcW w:type="dxa" w:w="2160"/>
            <w:shd w:val="clear" w:fill="F6F8FB"/>
          </w:tcPr>
          <w:p>
            <w:r/>
            <w:r>
              <w:rPr>
                <w:rFonts w:ascii="Arial" w:hAnsi="Arial"/>
                <w:b w:val="0"/>
                <w:sz w:val="18"/>
              </w:rPr>
            </w:r>
          </w:p>
        </w:tc>
        <w:tc>
          <w:tcPr>
            <w:tcW w:type="dxa" w:w="1728"/>
            <w:shd w:val="clear" w:fill="F6F8FB"/>
          </w:tcPr>
          <w:p>
            <w:r/>
            <w:r>
              <w:rPr>
                <w:rFonts w:ascii="Arial" w:hAnsi="Arial"/>
                <w:b w:val="0"/>
                <w:sz w:val="18"/>
              </w:rPr>
            </w:r>
          </w:p>
        </w:tc>
        <w:tc>
          <w:tcPr>
            <w:tcW w:type="dxa" w:w="1152"/>
            <w:shd w:val="clear" w:fill="F6F8FB"/>
          </w:tcPr>
          <w:p>
            <w:r/>
            <w:r>
              <w:rPr>
                <w:rFonts w:ascii="Arial" w:hAnsi="Arial"/>
                <w:b w:val="0"/>
                <w:sz w:val="18"/>
              </w:rPr>
            </w:r>
          </w:p>
        </w:tc>
        <w:tc>
          <w:tcPr>
            <w:tcW w:type="dxa" w:w="2448"/>
            <w:shd w:val="clear" w:fill="F6F8FB"/>
          </w:tcPr>
          <w:p>
            <w:r/>
            <w:r>
              <w:rPr>
                <w:rFonts w:ascii="Arial" w:hAnsi="Arial"/>
                <w:b w:val="0"/>
                <w:sz w:val="18"/>
              </w:rPr>
            </w:r>
          </w:p>
        </w:tc>
      </w:tr>
    </w:tbl>
    <w:p>
      <w:pPr>
        <w:pStyle w:val="Heading1"/>
      </w:pPr>
      <w:r>
        <w:t>4. Method-Selection Guide</w:t>
      </w:r>
    </w:p>
    <w:tbl>
      <w:tblPr>
        <w:tblStyle w:val="TableGrid"/>
        <w:tblW w:type="auto" w:w="0"/>
        <w:jc w:val="center"/>
        <w:tblLook w:firstColumn="1" w:firstRow="1" w:lastColumn="0" w:lastRow="0" w:noHBand="0" w:noVBand="1" w:val="04A0"/>
      </w:tblPr>
      <w:tblGrid>
        <w:gridCol w:w="4824"/>
        <w:gridCol w:w="4824"/>
      </w:tblGrid>
      <w:tr>
        <w:tc>
          <w:tcPr>
            <w:tcW w:type="dxa" w:w="3744"/>
            <w:shd w:val="clear" w:fill="1B4D89"/>
          </w:tcPr>
          <w:p>
            <w:r/>
            <w:r>
              <w:rPr>
                <w:rFonts w:ascii="Arial" w:hAnsi="Arial"/>
                <w:b/>
                <w:color w:val="FFFFFF"/>
                <w:sz w:val="18"/>
              </w:rPr>
              <w:t>Method</w:t>
            </w:r>
          </w:p>
        </w:tc>
        <w:tc>
          <w:tcPr>
            <w:tcW w:type="dxa" w:w="7776"/>
            <w:shd w:val="clear" w:fill="1B4D89"/>
          </w:tcPr>
          <w:p>
            <w:r/>
            <w:r>
              <w:rPr>
                <w:rFonts w:ascii="Arial" w:hAnsi="Arial"/>
                <w:b/>
                <w:color w:val="FFFFFF"/>
                <w:sz w:val="18"/>
              </w:rPr>
              <w:t>Best suited to</w:t>
            </w:r>
          </w:p>
        </w:tc>
      </w:tr>
      <w:tr>
        <w:tc>
          <w:tcPr>
            <w:tcW w:type="dxa" w:w="3744"/>
          </w:tcPr>
          <w:p>
            <w:r/>
            <w:r>
              <w:rPr>
                <w:rFonts w:ascii="Arial" w:hAnsi="Arial"/>
                <w:b w:val="0"/>
                <w:sz w:val="18"/>
              </w:rPr>
              <w:t>Comparable Uncontrolled Price (CUP)</w:t>
            </w:r>
          </w:p>
        </w:tc>
        <w:tc>
          <w:tcPr>
            <w:tcW w:type="dxa" w:w="7776"/>
          </w:tcPr>
          <w:p>
            <w:r/>
            <w:r>
              <w:rPr>
                <w:rFonts w:ascii="Arial" w:hAnsi="Arial"/>
                <w:b w:val="0"/>
                <w:sz w:val="18"/>
              </w:rPr>
              <w:t>Commodities, royalties, loans where close comparables exist</w:t>
            </w:r>
          </w:p>
        </w:tc>
      </w:tr>
      <w:tr>
        <w:tc>
          <w:tcPr>
            <w:tcW w:type="dxa" w:w="3744"/>
            <w:shd w:val="clear" w:fill="F6F8FB"/>
          </w:tcPr>
          <w:p>
            <w:r/>
            <w:r>
              <w:rPr>
                <w:rFonts w:ascii="Arial" w:hAnsi="Arial"/>
                <w:b w:val="0"/>
                <w:sz w:val="18"/>
              </w:rPr>
              <w:t>Resale Price Method</w:t>
            </w:r>
          </w:p>
        </w:tc>
        <w:tc>
          <w:tcPr>
            <w:tcW w:type="dxa" w:w="7776"/>
            <w:shd w:val="clear" w:fill="F6F8FB"/>
          </w:tcPr>
          <w:p>
            <w:r/>
            <w:r>
              <w:rPr>
                <w:rFonts w:ascii="Arial" w:hAnsi="Arial"/>
                <w:b w:val="0"/>
                <w:sz w:val="18"/>
              </w:rPr>
              <w:t>Distributors reselling without major value-add</w:t>
            </w:r>
          </w:p>
        </w:tc>
      </w:tr>
      <w:tr>
        <w:tc>
          <w:tcPr>
            <w:tcW w:type="dxa" w:w="3744"/>
          </w:tcPr>
          <w:p>
            <w:r/>
            <w:r>
              <w:rPr>
                <w:rFonts w:ascii="Arial" w:hAnsi="Arial"/>
                <w:b w:val="0"/>
                <w:sz w:val="18"/>
              </w:rPr>
              <w:t>Cost Plus</w:t>
            </w:r>
          </w:p>
        </w:tc>
        <w:tc>
          <w:tcPr>
            <w:tcW w:type="dxa" w:w="7776"/>
          </w:tcPr>
          <w:p>
            <w:r/>
            <w:r>
              <w:rPr>
                <w:rFonts w:ascii="Arial" w:hAnsi="Arial"/>
                <w:b w:val="0"/>
                <w:sz w:val="18"/>
              </w:rPr>
              <w:t>Manufacturers / service providers with measurable cost base</w:t>
            </w:r>
          </w:p>
        </w:tc>
      </w:tr>
      <w:tr>
        <w:tc>
          <w:tcPr>
            <w:tcW w:type="dxa" w:w="3744"/>
            <w:shd w:val="clear" w:fill="F6F8FB"/>
          </w:tcPr>
          <w:p>
            <w:r/>
            <w:r>
              <w:rPr>
                <w:rFonts w:ascii="Arial" w:hAnsi="Arial"/>
                <w:b w:val="0"/>
                <w:sz w:val="18"/>
              </w:rPr>
              <w:t>Transactional Net Margin Method (TNMM)</w:t>
            </w:r>
          </w:p>
        </w:tc>
        <w:tc>
          <w:tcPr>
            <w:tcW w:type="dxa" w:w="7776"/>
            <w:shd w:val="clear" w:fill="F6F8FB"/>
          </w:tcPr>
          <w:p>
            <w:r/>
            <w:r>
              <w:rPr>
                <w:rFonts w:ascii="Arial" w:hAnsi="Arial"/>
                <w:b w:val="0"/>
                <w:sz w:val="18"/>
              </w:rPr>
              <w:t>Services and distribution where net margins are comparable</w:t>
            </w:r>
          </w:p>
        </w:tc>
      </w:tr>
      <w:tr>
        <w:tc>
          <w:tcPr>
            <w:tcW w:type="dxa" w:w="3744"/>
          </w:tcPr>
          <w:p>
            <w:r/>
            <w:r>
              <w:rPr>
                <w:rFonts w:ascii="Arial" w:hAnsi="Arial"/>
                <w:b w:val="0"/>
                <w:sz w:val="18"/>
              </w:rPr>
              <w:t>Profit Split</w:t>
            </w:r>
          </w:p>
        </w:tc>
        <w:tc>
          <w:tcPr>
            <w:tcW w:type="dxa" w:w="7776"/>
          </w:tcPr>
          <w:p>
            <w:r/>
            <w:r>
              <w:rPr>
                <w:rFonts w:ascii="Arial" w:hAnsi="Arial"/>
                <w:b w:val="0"/>
                <w:sz w:val="18"/>
              </w:rPr>
              <w:t>Highly integrated operations / unique intangibles on both sides</w:t>
            </w:r>
          </w:p>
        </w:tc>
      </w:tr>
    </w:tbl>
    <w:p>
      <w:pPr>
        <w:pStyle w:val="Heading1"/>
      </w:pPr>
      <w:r>
        <w:t>5. TP Policy Template (core clauses)</w:t>
      </w:r>
    </w:p>
    <w:p>
      <w:pPr>
        <w:pStyle w:val="ListBullet"/>
      </w:pPr>
      <w:r>
        <w:rPr>
          <w:sz w:val="20"/>
        </w:rPr>
        <w:t>Statement of arm's-length commitment and governance ownership.</w:t>
      </w:r>
    </w:p>
    <w:p>
      <w:pPr>
        <w:pStyle w:val="ListBullet"/>
      </w:pPr>
      <w:r>
        <w:rPr>
          <w:sz w:val="20"/>
        </w:rPr>
        <w:t>Catalogue of controlled transactions and the selected method for each.</w:t>
      </w:r>
    </w:p>
    <w:p>
      <w:pPr>
        <w:pStyle w:val="ListBullet"/>
      </w:pPr>
      <w:r>
        <w:rPr>
          <w:sz w:val="20"/>
        </w:rPr>
        <w:t>Pricing mechanics and the process for periodic and year-end adjustments.</w:t>
      </w:r>
    </w:p>
    <w:p>
      <w:pPr>
        <w:pStyle w:val="ListBullet"/>
      </w:pPr>
      <w:r>
        <w:rPr>
          <w:sz w:val="20"/>
        </w:rPr>
        <w:t>Documentation standard (Master/Local File) and retention period.</w:t>
      </w:r>
    </w:p>
    <w:p>
      <w:pPr>
        <w:pStyle w:val="ListBullet"/>
      </w:pPr>
      <w:r>
        <w:rPr>
          <w:sz w:val="20"/>
        </w:rPr>
        <w:t>Roles, approvals and the annual review calendar.</w:t>
      </w:r>
    </w:p>
    <w:p>
      <w:pPr>
        <w:pStyle w:val="Heading1"/>
      </w:pPr>
      <w:r>
        <w:t>6. Documentation Pack</w:t>
      </w:r>
    </w:p>
    <w:tbl>
      <w:tblPr>
        <w:tblStyle w:val="TableGrid"/>
        <w:tblW w:type="auto" w:w="0"/>
        <w:jc w:val="center"/>
        <w:tblLook w:firstColumn="1" w:firstRow="1" w:lastColumn="0" w:lastRow="0" w:noHBand="0" w:noVBand="1" w:val="04A0"/>
      </w:tblPr>
      <w:tblGrid>
        <w:gridCol w:w="3216"/>
        <w:gridCol w:w="3216"/>
        <w:gridCol w:w="3216"/>
      </w:tblGrid>
      <w:tr>
        <w:tc>
          <w:tcPr>
            <w:tcW w:type="dxa" w:w="2160"/>
            <w:shd w:val="clear" w:fill="1B4D89"/>
          </w:tcPr>
          <w:p>
            <w:r/>
            <w:r>
              <w:rPr>
                <w:rFonts w:ascii="Arial" w:hAnsi="Arial"/>
                <w:b/>
                <w:color w:val="FFFFFF"/>
                <w:sz w:val="18"/>
              </w:rPr>
              <w:t>Component</w:t>
            </w:r>
          </w:p>
        </w:tc>
        <w:tc>
          <w:tcPr>
            <w:tcW w:type="dxa" w:w="6624"/>
            <w:shd w:val="clear" w:fill="1B4D89"/>
          </w:tcPr>
          <w:p>
            <w:r/>
            <w:r>
              <w:rPr>
                <w:rFonts w:ascii="Arial" w:hAnsi="Arial"/>
                <w:b/>
                <w:color w:val="FFFFFF"/>
                <w:sz w:val="18"/>
              </w:rPr>
              <w:t>Contents</w:t>
            </w:r>
          </w:p>
        </w:tc>
        <w:tc>
          <w:tcPr>
            <w:tcW w:type="dxa" w:w="2736"/>
            <w:shd w:val="clear" w:fill="1B4D89"/>
          </w:tcPr>
          <w:p>
            <w:r/>
            <w:r>
              <w:rPr>
                <w:rFonts w:ascii="Arial" w:hAnsi="Arial"/>
                <w:b/>
                <w:color w:val="FFFFFF"/>
                <w:sz w:val="18"/>
              </w:rPr>
              <w:t>Threshold (verify)</w:t>
            </w:r>
          </w:p>
        </w:tc>
      </w:tr>
      <w:tr>
        <w:tc>
          <w:tcPr>
            <w:tcW w:type="dxa" w:w="2160"/>
          </w:tcPr>
          <w:p>
            <w:r/>
            <w:r>
              <w:rPr>
                <w:rFonts w:ascii="Arial" w:hAnsi="Arial"/>
                <w:b w:val="0"/>
                <w:sz w:val="18"/>
              </w:rPr>
              <w:t>Master File</w:t>
            </w:r>
          </w:p>
        </w:tc>
        <w:tc>
          <w:tcPr>
            <w:tcW w:type="dxa" w:w="6624"/>
          </w:tcPr>
          <w:p>
            <w:r/>
            <w:r>
              <w:rPr>
                <w:rFonts w:ascii="Arial" w:hAnsi="Arial"/>
                <w:b w:val="0"/>
                <w:sz w:val="18"/>
              </w:rPr>
              <w:t>Group structure, business, intangibles, financing, global allocation</w:t>
            </w:r>
          </w:p>
        </w:tc>
        <w:tc>
          <w:tcPr>
            <w:tcW w:type="dxa" w:w="2736"/>
          </w:tcPr>
          <w:p>
            <w:r/>
            <w:r>
              <w:rPr>
                <w:rFonts w:ascii="Arial" w:hAnsi="Arial"/>
                <w:b w:val="0"/>
                <w:sz w:val="18"/>
              </w:rPr>
              <w:t>Group in scope</w:t>
            </w:r>
          </w:p>
        </w:tc>
      </w:tr>
      <w:tr>
        <w:tc>
          <w:tcPr>
            <w:tcW w:type="dxa" w:w="2160"/>
            <w:shd w:val="clear" w:fill="F6F8FB"/>
          </w:tcPr>
          <w:p>
            <w:r/>
            <w:r>
              <w:rPr>
                <w:rFonts w:ascii="Arial" w:hAnsi="Arial"/>
                <w:b w:val="0"/>
                <w:sz w:val="18"/>
              </w:rPr>
              <w:t>Local File</w:t>
            </w:r>
          </w:p>
        </w:tc>
        <w:tc>
          <w:tcPr>
            <w:tcW w:type="dxa" w:w="6624"/>
            <w:shd w:val="clear" w:fill="F6F8FB"/>
          </w:tcPr>
          <w:p>
            <w:r/>
            <w:r>
              <w:rPr>
                <w:rFonts w:ascii="Arial" w:hAnsi="Arial"/>
                <w:b w:val="0"/>
                <w:sz w:val="18"/>
              </w:rPr>
              <w:t>Local entity, controlled transactions, FAR, benchmarking</w:t>
            </w:r>
          </w:p>
        </w:tc>
        <w:tc>
          <w:tcPr>
            <w:tcW w:type="dxa" w:w="2736"/>
            <w:shd w:val="clear" w:fill="F6F8FB"/>
          </w:tcPr>
          <w:p>
            <w:r/>
            <w:r>
              <w:rPr>
                <w:rFonts w:ascii="Arial" w:hAnsi="Arial"/>
                <w:b w:val="0"/>
                <w:sz w:val="18"/>
              </w:rPr>
              <w:t>Per local thresholds</w:t>
            </w:r>
          </w:p>
        </w:tc>
      </w:tr>
      <w:tr>
        <w:tc>
          <w:tcPr>
            <w:tcW w:type="dxa" w:w="2160"/>
          </w:tcPr>
          <w:p>
            <w:r/>
            <w:r>
              <w:rPr>
                <w:rFonts w:ascii="Arial" w:hAnsi="Arial"/>
                <w:b w:val="0"/>
                <w:sz w:val="18"/>
              </w:rPr>
              <w:t>CbCR</w:t>
            </w:r>
          </w:p>
        </w:tc>
        <w:tc>
          <w:tcPr>
            <w:tcW w:type="dxa" w:w="6624"/>
          </w:tcPr>
          <w:p>
            <w:r/>
            <w:r>
              <w:rPr>
                <w:rFonts w:ascii="Arial" w:hAnsi="Arial"/>
                <w:b w:val="0"/>
                <w:sz w:val="18"/>
              </w:rPr>
              <w:t>Country-by-country revenue, profit, tax, people, assets</w:t>
            </w:r>
          </w:p>
        </w:tc>
        <w:tc>
          <w:tcPr>
            <w:tcW w:type="dxa" w:w="2736"/>
          </w:tcPr>
          <w:p>
            <w:r/>
            <w:r>
              <w:rPr>
                <w:rFonts w:ascii="Arial" w:hAnsi="Arial"/>
                <w:b w:val="0"/>
                <w:sz w:val="18"/>
              </w:rPr>
              <w:t>Group revenue ≥ ₦160bn / €750m</w:t>
            </w:r>
          </w:p>
        </w:tc>
      </w:tr>
    </w:tbl>
    <w:p>
      <w:pPr>
        <w:pStyle w:val="Heading1"/>
      </w:pPr>
      <w:r>
        <w:t>7. Intra-Group Checklists</w:t>
      </w:r>
    </w:p>
    <w:p>
      <w:pPr>
        <w:pStyle w:val="Heading3"/>
      </w:pPr>
      <w:r>
        <w:t>Services</w:t>
      </w:r>
    </w:p>
    <w:p>
      <w:pPr>
        <w:ind w:left="360"/>
      </w:pPr>
      <w:r>
        <w:rPr>
          <w:sz w:val="20"/>
        </w:rPr>
        <w:t>☐  Service actually rendered and evidenced</w:t>
      </w:r>
    </w:p>
    <w:p>
      <w:pPr>
        <w:ind w:left="360"/>
      </w:pPr>
      <w:r>
        <w:rPr>
          <w:sz w:val="20"/>
        </w:rPr>
        <w:t>☐  Benefit to recipient demonstrable</w:t>
      </w:r>
    </w:p>
    <w:p>
      <w:pPr>
        <w:ind w:left="360"/>
      </w:pPr>
      <w:r>
        <w:rPr>
          <w:sz w:val="20"/>
        </w:rPr>
        <w:t>☐  No duplication / shareholder activities excluded</w:t>
      </w:r>
    </w:p>
    <w:p>
      <w:pPr>
        <w:ind w:left="360"/>
      </w:pPr>
      <w:r>
        <w:rPr>
          <w:sz w:val="20"/>
        </w:rPr>
        <w:t>☐  Appropriate mark-up benchmarked</w:t>
      </w:r>
    </w:p>
    <w:p>
      <w:pPr>
        <w:pStyle w:val="Heading3"/>
      </w:pPr>
      <w:r>
        <w:t>Intangibles</w:t>
      </w:r>
    </w:p>
    <w:p>
      <w:pPr>
        <w:ind w:left="360"/>
      </w:pPr>
      <w:r>
        <w:rPr>
          <w:sz w:val="20"/>
        </w:rPr>
        <w:t>☐  Legal vs economic ownership mapped (DEMPE)</w:t>
      </w:r>
    </w:p>
    <w:p>
      <w:pPr>
        <w:ind w:left="360"/>
      </w:pPr>
      <w:r>
        <w:rPr>
          <w:sz w:val="20"/>
        </w:rPr>
        <w:t>☐  Royalty rate benchmarked</w:t>
      </w:r>
    </w:p>
    <w:p>
      <w:pPr>
        <w:ind w:left="360"/>
      </w:pPr>
      <w:r>
        <w:rPr>
          <w:sz w:val="20"/>
        </w:rPr>
        <w:t>☐  Written licence agreement in place</w:t>
      </w:r>
    </w:p>
    <w:p>
      <w:pPr>
        <w:pStyle w:val="Heading3"/>
      </w:pPr>
      <w:r>
        <w:t>Financing</w:t>
      </w:r>
    </w:p>
    <w:p>
      <w:pPr>
        <w:ind w:left="360"/>
      </w:pPr>
      <w:r>
        <w:rPr>
          <w:sz w:val="20"/>
        </w:rPr>
        <w:t>☐  Arm's-length interest rate evidenced</w:t>
      </w:r>
    </w:p>
    <w:p>
      <w:pPr>
        <w:ind w:left="360"/>
      </w:pPr>
      <w:r>
        <w:rPr>
          <w:sz w:val="20"/>
        </w:rPr>
        <w:t>☐  Thin-capitalisation / interest-limitation rules checked</w:t>
      </w:r>
    </w:p>
    <w:p>
      <w:pPr>
        <w:ind w:left="360"/>
      </w:pPr>
      <w:r>
        <w:rPr>
          <w:sz w:val="20"/>
        </w:rPr>
        <w:t>☐  Guarantee fees considered</w:t>
      </w:r>
    </w:p>
    <w:p>
      <w:pPr>
        <w:pStyle w:val="Heading1"/>
      </w:pPr>
      <w:r>
        <w:t>8. Compliance Calendar &amp; Penalty Exposure</w:t>
      </w:r>
    </w:p>
    <w:p>
      <w:pPr>
        <w:pStyle w:val="ListBullet"/>
      </w:pPr>
      <w:r>
        <w:rPr>
          <w:sz w:val="20"/>
        </w:rPr>
        <w:t>File TP declaration and disclosure with the annual CIT return.</w:t>
      </w:r>
    </w:p>
    <w:p>
      <w:pPr>
        <w:pStyle w:val="ListBullet"/>
      </w:pPr>
      <w:r>
        <w:rPr>
          <w:sz w:val="20"/>
        </w:rPr>
        <w:t>Maintain contemporaneous documentation; produce within the statutory period on request.</w:t>
      </w:r>
    </w:p>
    <w:p>
      <w:pPr>
        <w:pStyle w:val="ListBullet"/>
      </w:pPr>
      <w:r>
        <w:rPr>
          <w:sz w:val="20"/>
        </w:rPr>
        <w:t>CbCR (if in scope) filed within 12 months of group year-end.</w:t>
      </w:r>
    </w:p>
    <w:p>
      <w:pPr>
        <w:pStyle w:val="ListBullet"/>
      </w:pPr>
      <w:r>
        <w:rPr>
          <w:sz w:val="20"/>
        </w:rPr>
        <w:t>Penalties apply for failure to file, failure to document, and for TP adjustments — confirm current amounts with NRS.</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