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rFonts w:ascii="Arial" w:hAnsi="Arial"/>
          <w:color w:val="C26B3C"/>
          <w:sz w:val="16"/>
        </w:rPr>
        <w:t>OUTLIERS PROFESSIONAL  ·  FINANCE &amp; TREASURY CENTRE</w:t>
      </w:r>
    </w:p>
    <w:p>
      <w:pPr>
        <w:pStyle w:val="Title"/>
      </w:pPr>
      <w:r>
        <w:rPr>
          <w:rFonts w:ascii="Arial" w:hAnsi="Arial"/>
          <w:color w:val="1F2A44"/>
        </w:rPr>
        <w:t>Bank Account Rationalisation Toolkit</w:t>
      </w:r>
    </w:p>
    <w:p>
      <w:r>
        <w:rPr>
          <w:rFonts w:ascii="Arial" w:hAnsi="Arial"/>
          <w:b/>
          <w:sz w:val="22"/>
        </w:rPr>
        <w:t>Toolkit · Bank Relationship Management · Professional tier</w:t>
      </w:r>
    </w:p>
    <w:p>
      <w:r>
        <w:rPr>
          <w:rFonts w:ascii="Arial" w:hAnsi="Arial"/>
          <w:sz w:val="22"/>
        </w:rPr>
        <w:t>Reduce account sprawl while preserving operational flexibility.</w:t>
      </w:r>
    </w:p>
    <w:p>
      <w:pPr>
        <w:pStyle w:val="Heading1"/>
      </w:pPr>
      <w:r>
        <w:rPr>
          <w:rFonts w:ascii="Arial" w:hAnsi="Arial"/>
          <w:color w:val="1F2A44"/>
        </w:rPr>
        <w:t>1. Purpose</w:t>
      </w:r>
    </w:p>
    <w:p>
      <w:r>
        <w:rPr>
          <w:rFonts w:ascii="Arial" w:hAnsi="Arial"/>
          <w:sz w:val="22"/>
        </w:rPr>
        <w:t>Inventory, score and rationalise bank accounts; close, consolidate or retain decisions documented per account.</w:t>
      </w:r>
    </w:p>
    <w:p>
      <w:pPr>
        <w:pStyle w:val="Heading1"/>
      </w:pPr>
      <w:r>
        <w:rPr>
          <w:rFonts w:ascii="Arial" w:hAnsi="Arial"/>
          <w:color w:val="1F2A44"/>
        </w:rPr>
        <w:t>2. Who should use this</w:t>
      </w:r>
    </w:p>
    <w:p>
      <w:pPr>
        <w:pStyle w:val="ListBullet"/>
      </w:pPr>
      <w:r>
        <w:rPr>
          <w:rFonts w:ascii="Arial" w:hAnsi="Arial"/>
          <w:sz w:val="22"/>
        </w:rPr>
        <w:t>Treasury Ops</w:t>
      </w:r>
    </w:p>
    <w:p>
      <w:pPr>
        <w:pStyle w:val="Heading1"/>
      </w:pPr>
      <w:r>
        <w:rPr>
          <w:rFonts w:ascii="Arial" w:hAnsi="Arial"/>
          <w:color w:val="1F2A44"/>
        </w:rPr>
        <w:t>3. When to use it</w:t>
      </w:r>
    </w:p>
    <w:p>
      <w:pPr>
        <w:pStyle w:val="ListBullet"/>
      </w:pPr>
      <w:r>
        <w:rPr>
          <w:rFonts w:ascii="Arial" w:hAnsi="Arial"/>
          <w:sz w:val="22"/>
        </w:rPr>
        <w:t>At the start of every toolkit cycle for the group.</w:t>
      </w:r>
    </w:p>
    <w:p>
      <w:pPr>
        <w:pStyle w:val="ListBullet"/>
      </w:pPr>
      <w:r>
        <w:rPr>
          <w:rFonts w:ascii="Arial" w:hAnsi="Arial"/>
          <w:sz w:val="22"/>
        </w:rPr>
        <w:t>Whenever a material change occurs in the underlying business, regulation or risk profile.</w:t>
      </w:r>
    </w:p>
    <w:p>
      <w:pPr>
        <w:pStyle w:val="ListBullet"/>
      </w:pPr>
      <w:r>
        <w:rPr>
          <w:rFonts w:ascii="Arial" w:hAnsi="Arial"/>
          <w:sz w:val="22"/>
        </w:rPr>
        <w:t>During quarterly management and board reviews.</w:t>
      </w:r>
    </w:p>
    <w:p>
      <w:pPr>
        <w:pStyle w:val="ListBullet"/>
      </w:pPr>
      <w:r>
        <w:rPr>
          <w:rFonts w:ascii="Arial" w:hAnsi="Arial"/>
          <w:sz w:val="22"/>
        </w:rPr>
        <w:t>As part of internal audit and second-line assurance work.</w:t>
      </w:r>
    </w:p>
    <w:p>
      <w:pPr>
        <w:pStyle w:val="Heading1"/>
      </w:pPr>
      <w:r>
        <w:rPr>
          <w:rFonts w:ascii="Arial" w:hAnsi="Arial"/>
          <w:color w:val="1F2A44"/>
        </w:rPr>
        <w:t>4. Step-by-step usage</w:t>
      </w:r>
    </w:p>
    <w:p>
      <w:pPr>
        <w:pStyle w:val="ListNumber"/>
      </w:pPr>
      <w:r>
        <w:rPr>
          <w:rFonts w:ascii="Arial" w:hAnsi="Arial"/>
          <w:sz w:val="22"/>
        </w:rPr>
        <w:t>Read the executive summary and identify the workstreams that apply to your group.</w:t>
      </w:r>
    </w:p>
    <w:p>
      <w:pPr>
        <w:pStyle w:val="ListNumber"/>
      </w:pPr>
      <w:r>
        <w:rPr>
          <w:rFonts w:ascii="Arial" w:hAnsi="Arial"/>
          <w:sz w:val="22"/>
        </w:rPr>
        <w:t>Localise assumptions, currencies, regulatory references and naming conventions.</w:t>
      </w:r>
    </w:p>
    <w:p>
      <w:pPr>
        <w:pStyle w:val="ListNumber"/>
      </w:pPr>
      <w:r>
        <w:rPr>
          <w:rFonts w:ascii="Arial" w:hAnsi="Arial"/>
          <w:sz w:val="22"/>
        </w:rPr>
        <w:t>Populate the working sections with current data and source-document references.</w:t>
      </w:r>
    </w:p>
    <w:p>
      <w:pPr>
        <w:pStyle w:val="ListNumber"/>
      </w:pPr>
      <w:r>
        <w:rPr>
          <w:rFonts w:ascii="Arial" w:hAnsi="Arial"/>
          <w:sz w:val="22"/>
        </w:rPr>
        <w:t>Run an internal challenge session before the first formal review.</w:t>
      </w:r>
    </w:p>
    <w:p>
      <w:pPr>
        <w:pStyle w:val="ListNumber"/>
      </w:pPr>
      <w:r>
        <w:rPr>
          <w:rFonts w:ascii="Arial" w:hAnsi="Arial"/>
          <w:sz w:val="22"/>
        </w:rPr>
        <w:t>Present at the relevant committee (Treasury, ALCO, ExCo or Board).</w:t>
      </w:r>
    </w:p>
    <w:p>
      <w:pPr>
        <w:pStyle w:val="ListNumber"/>
      </w:pPr>
      <w:r>
        <w:rPr>
          <w:rFonts w:ascii="Arial" w:hAnsi="Arial"/>
          <w:sz w:val="22"/>
        </w:rPr>
        <w:t>Capture decisions and actions; refresh on the agreed cadence.</w:t>
      </w:r>
    </w:p>
    <w:p>
      <w:pPr>
        <w:pStyle w:val="Heading1"/>
      </w:pPr>
      <w:r>
        <w:rPr>
          <w:rFonts w:ascii="Arial" w:hAnsi="Arial"/>
          <w:color w:val="1F2A44"/>
        </w:rPr>
        <w:t>5. Controls and approval workflow</w:t>
      </w:r>
    </w:p>
    <w:p>
      <w:pPr>
        <w:pStyle w:val="ListBullet"/>
      </w:pPr>
      <w:r>
        <w:rPr>
          <w:rFonts w:ascii="Arial" w:hAnsi="Arial"/>
          <w:sz w:val="22"/>
        </w:rPr>
        <w:t>Segregation of duties between preparer, reviewer and approver.</w:t>
      </w:r>
    </w:p>
    <w:p>
      <w:pPr>
        <w:pStyle w:val="ListBullet"/>
      </w:pPr>
      <w:r>
        <w:rPr>
          <w:rFonts w:ascii="Arial" w:hAnsi="Arial"/>
          <w:sz w:val="22"/>
        </w:rPr>
        <w:t>Documented delegated authority with monetary and instrument limits.</w:t>
      </w:r>
    </w:p>
    <w:p>
      <w:pPr>
        <w:pStyle w:val="ListBullet"/>
      </w:pPr>
      <w:r>
        <w:rPr>
          <w:rFonts w:ascii="Arial" w:hAnsi="Arial"/>
          <w:sz w:val="22"/>
        </w:rPr>
        <w:t>System-enforced limits where the toolkit drives downstream payments or trades.</w:t>
      </w:r>
    </w:p>
    <w:p>
      <w:pPr>
        <w:pStyle w:val="ListBullet"/>
      </w:pPr>
      <w:r>
        <w:rPr>
          <w:rFonts w:ascii="Arial" w:hAnsi="Arial"/>
          <w:sz w:val="22"/>
        </w:rPr>
        <w:t>Quarterly independent review by Internal Audit or second-line Risk.</w:t>
      </w:r>
    </w:p>
    <w:p>
      <w:pPr>
        <w:pStyle w:val="ListBullet"/>
      </w:pPr>
      <w:r>
        <w:rPr>
          <w:rFonts w:ascii="Arial" w:hAnsi="Arial"/>
          <w:sz w:val="22"/>
        </w:rPr>
        <w:t>Exception log retained for at least seven years for regulatory inspection.</w:t>
      </w:r>
    </w:p>
    <w:p>
      <w:pPr>
        <w:pStyle w:val="Heading1"/>
      </w:pPr>
      <w:r>
        <w:rPr>
          <w:rFonts w:ascii="Arial" w:hAnsi="Arial"/>
          <w:color w:val="1F2A44"/>
        </w:rPr>
        <w:t>6. Review frequency</w:t>
      </w:r>
    </w:p>
    <w:p>
      <w:r>
        <w:rPr>
          <w:rFonts w:ascii="Arial" w:hAnsi="Arial"/>
          <w:sz w:val="22"/>
        </w:rPr>
        <w:t>Reviewed at least quarterly and refreshed when underlying assumptions change.</w:t>
      </w:r>
    </w:p>
    <w:p>
      <w:pPr>
        <w:pStyle w:val="Heading1"/>
      </w:pPr>
      <w:r>
        <w:rPr>
          <w:rFonts w:ascii="Arial" w:hAnsi="Arial"/>
          <w:color w:val="1F2A44"/>
        </w:rPr>
        <w:t>7. Sample working template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c>
          <w:tcPr>
            <w:tcW w:type="dxa" w:w="1440"/>
          </w:tcPr>
          <w:p>
            <w:r>
              <w:rPr>
                <w:rFonts w:ascii="Arial" w:hAnsi="Arial"/>
                <w:b/>
                <w:sz w:val="20"/>
              </w:rPr>
              <w:t>Bank</w:t>
            </w:r>
          </w:p>
        </w:tc>
        <w:tc>
          <w:tcPr>
            <w:tcW w:type="dxa" w:w="1440"/>
          </w:tcPr>
          <w:p>
            <w:r>
              <w:rPr>
                <w:rFonts w:ascii="Arial" w:hAnsi="Arial"/>
                <w:b/>
                <w:sz w:val="20"/>
              </w:rPr>
              <w:t>Service Tier</w:t>
            </w:r>
          </w:p>
        </w:tc>
        <w:tc>
          <w:tcPr>
            <w:tcW w:type="dxa" w:w="1440"/>
          </w:tcPr>
          <w:p>
            <w:r>
              <w:rPr>
                <w:rFonts w:ascii="Arial" w:hAnsi="Arial"/>
                <w:b/>
                <w:sz w:val="20"/>
              </w:rPr>
              <w:t>Wallet Share</w:t>
            </w:r>
          </w:p>
        </w:tc>
        <w:tc>
          <w:tcPr>
            <w:tcW w:type="dxa" w:w="1440"/>
          </w:tcPr>
          <w:p>
            <w:r>
              <w:rPr>
                <w:rFonts w:ascii="Arial" w:hAnsi="Arial"/>
                <w:b/>
                <w:sz w:val="20"/>
              </w:rPr>
              <w:t>Service Score</w:t>
            </w:r>
          </w:p>
        </w:tc>
        <w:tc>
          <w:tcPr>
            <w:tcW w:type="dxa" w:w="1440"/>
          </w:tcPr>
          <w:p>
            <w:r>
              <w:rPr>
                <w:rFonts w:ascii="Arial" w:hAnsi="Arial"/>
                <w:b/>
                <w:sz w:val="20"/>
              </w:rPr>
              <w:t>Credit Score</w:t>
            </w:r>
          </w:p>
        </w:tc>
        <w:tc>
          <w:tcPr>
            <w:tcW w:type="dxa" w:w="1440"/>
          </w:tcPr>
          <w:p>
            <w:r>
              <w:rPr>
                <w:rFonts w:ascii="Arial" w:hAnsi="Arial"/>
                <w:b/>
                <w:sz w:val="20"/>
              </w:rPr>
              <w:t>Strategic Value</w:t>
            </w:r>
          </w:p>
        </w:tc>
      </w:tr>
      <w:tr>
        <w:tc>
          <w:tcPr>
            <w:tcW w:type="dxa" w:w="1440"/>
          </w:tcPr>
          <w:p>
            <w:r>
              <w:rPr>
                <w:rFonts w:ascii="Arial" w:hAnsi="Arial"/>
                <w:sz w:val="20"/>
              </w:rPr>
              <w:t>Bank 1</w:t>
            </w:r>
          </w:p>
        </w:tc>
        <w:tc>
          <w:tcPr>
            <w:tcW w:type="dxa" w:w="1440"/>
          </w:tcPr>
          <w:p>
            <w:r>
              <w:rPr>
                <w:rFonts w:ascii="Arial" w:hAnsi="Arial"/>
                <w:sz w:val="20"/>
              </w:rPr>
              <w:t>Lead</w:t>
            </w:r>
          </w:p>
        </w:tc>
        <w:tc>
          <w:tcPr>
            <w:tcW w:type="dxa" w:w="1440"/>
          </w:tcPr>
          <w:p>
            <w:r>
              <w:rPr>
                <w:rFonts w:ascii="Arial" w:hAnsi="Arial"/>
                <w:sz w:val="20"/>
              </w:rPr>
              <w:t>32%</w:t>
            </w:r>
          </w:p>
        </w:tc>
        <w:tc>
          <w:tcPr>
            <w:tcW w:type="dxa" w:w="1440"/>
          </w:tcPr>
          <w:p>
            <w:r>
              <w:rPr>
                <w:rFonts w:ascii="Arial" w:hAnsi="Arial"/>
                <w:sz w:val="20"/>
              </w:rPr>
              <w:t>4.2</w:t>
            </w:r>
          </w:p>
        </w:tc>
        <w:tc>
          <w:tcPr>
            <w:tcW w:type="dxa" w:w="1440"/>
          </w:tcPr>
          <w:p>
            <w:r>
              <w:rPr>
                <w:rFonts w:ascii="Arial" w:hAnsi="Arial"/>
                <w:sz w:val="20"/>
              </w:rPr>
              <w:t>4.0</w:t>
            </w:r>
          </w:p>
        </w:tc>
        <w:tc>
          <w:tcPr>
            <w:tcW w:type="dxa" w:w="1440"/>
          </w:tcPr>
          <w:p>
            <w:r>
              <w:rPr>
                <w:rFonts w:ascii="Arial" w:hAnsi="Arial"/>
                <w:sz w:val="20"/>
              </w:rPr>
              <w:t>High</w:t>
            </w:r>
          </w:p>
        </w:tc>
      </w:tr>
      <w:tr>
        <w:tc>
          <w:tcPr>
            <w:tcW w:type="dxa" w:w="1440"/>
          </w:tcPr>
          <w:p>
            <w:r>
              <w:rPr>
                <w:rFonts w:ascii="Arial" w:hAnsi="Arial"/>
                <w:sz w:val="20"/>
              </w:rPr>
              <w:t>Bank 2</w:t>
            </w:r>
          </w:p>
        </w:tc>
        <w:tc>
          <w:tcPr>
            <w:tcW w:type="dxa" w:w="1440"/>
          </w:tcPr>
          <w:p>
            <w:r>
              <w:rPr>
                <w:rFonts w:ascii="Arial" w:hAnsi="Arial"/>
                <w:sz w:val="20"/>
              </w:rPr>
              <w:t>Operating</w:t>
            </w:r>
          </w:p>
        </w:tc>
        <w:tc>
          <w:tcPr>
            <w:tcW w:type="dxa" w:w="1440"/>
          </w:tcPr>
          <w:p>
            <w:r>
              <w:rPr>
                <w:rFonts w:ascii="Arial" w:hAnsi="Arial"/>
                <w:sz w:val="20"/>
              </w:rPr>
              <w:t>21%</w:t>
            </w:r>
          </w:p>
        </w:tc>
        <w:tc>
          <w:tcPr>
            <w:tcW w:type="dxa" w:w="1440"/>
          </w:tcPr>
          <w:p>
            <w:r>
              <w:rPr>
                <w:rFonts w:ascii="Arial" w:hAnsi="Arial"/>
                <w:sz w:val="20"/>
              </w:rPr>
              <w:t>3.8</w:t>
            </w:r>
          </w:p>
        </w:tc>
        <w:tc>
          <w:tcPr>
            <w:tcW w:type="dxa" w:w="1440"/>
          </w:tcPr>
          <w:p>
            <w:r>
              <w:rPr>
                <w:rFonts w:ascii="Arial" w:hAnsi="Arial"/>
                <w:sz w:val="20"/>
              </w:rPr>
              <w:t>4.1</w:t>
            </w:r>
          </w:p>
        </w:tc>
        <w:tc>
          <w:tcPr>
            <w:tcW w:type="dxa" w:w="1440"/>
          </w:tcPr>
          <w:p>
            <w:r>
              <w:rPr>
                <w:rFonts w:ascii="Arial" w:hAnsi="Arial"/>
                <w:sz w:val="20"/>
              </w:rPr>
              <w:t>Medium</w:t>
            </w:r>
          </w:p>
        </w:tc>
      </w:tr>
      <w:tr>
        <w:tc>
          <w:tcPr>
            <w:tcW w:type="dxa" w:w="1440"/>
          </w:tcPr>
          <w:p>
            <w:r>
              <w:rPr>
                <w:rFonts w:ascii="Arial" w:hAnsi="Arial"/>
                <w:sz w:val="20"/>
              </w:rPr>
              <w:t>Bank 3</w:t>
            </w:r>
          </w:p>
        </w:tc>
        <w:tc>
          <w:tcPr>
            <w:tcW w:type="dxa" w:w="1440"/>
          </w:tcPr>
          <w:p>
            <w:r>
              <w:rPr>
                <w:rFonts w:ascii="Arial" w:hAnsi="Arial"/>
                <w:sz w:val="20"/>
              </w:rPr>
              <w:t>Specialist</w:t>
            </w:r>
          </w:p>
        </w:tc>
        <w:tc>
          <w:tcPr>
            <w:tcW w:type="dxa" w:w="1440"/>
          </w:tcPr>
          <w:p>
            <w:r>
              <w:rPr>
                <w:rFonts w:ascii="Arial" w:hAnsi="Arial"/>
                <w:sz w:val="20"/>
              </w:rPr>
              <w:t>12%</w:t>
            </w:r>
          </w:p>
        </w:tc>
        <w:tc>
          <w:tcPr>
            <w:tcW w:type="dxa" w:w="1440"/>
          </w:tcPr>
          <w:p>
            <w:r>
              <w:rPr>
                <w:rFonts w:ascii="Arial" w:hAnsi="Arial"/>
                <w:sz w:val="20"/>
              </w:rPr>
              <w:t>4.5</w:t>
            </w:r>
          </w:p>
        </w:tc>
        <w:tc>
          <w:tcPr>
            <w:tcW w:type="dxa" w:w="1440"/>
          </w:tcPr>
          <w:p>
            <w:r>
              <w:rPr>
                <w:rFonts w:ascii="Arial" w:hAnsi="Arial"/>
                <w:sz w:val="20"/>
              </w:rPr>
              <w:t>3.6</w:t>
            </w:r>
          </w:p>
        </w:tc>
        <w:tc>
          <w:tcPr>
            <w:tcW w:type="dxa" w:w="1440"/>
          </w:tcPr>
          <w:p>
            <w:r>
              <w:rPr>
                <w:rFonts w:ascii="Arial" w:hAnsi="Arial"/>
                <w:sz w:val="20"/>
              </w:rPr>
              <w:t>High</w:t>
            </w:r>
          </w:p>
        </w:tc>
      </w:tr>
      <w:tr>
        <w:tc>
          <w:tcPr>
            <w:tcW w:type="dxa" w:w="1440"/>
          </w:tcPr>
          <w:p>
            <w:r>
              <w:rPr>
                <w:rFonts w:ascii="Arial" w:hAnsi="Arial"/>
                <w:sz w:val="20"/>
              </w:rPr>
              <w:t>Bank 4</w:t>
            </w:r>
          </w:p>
        </w:tc>
        <w:tc>
          <w:tcPr>
            <w:tcW w:type="dxa" w:w="1440"/>
          </w:tcPr>
          <w:p>
            <w:r>
              <w:rPr>
                <w:rFonts w:ascii="Arial" w:hAnsi="Arial"/>
                <w:sz w:val="20"/>
              </w:rPr>
              <w:t>Transactional</w:t>
            </w:r>
          </w:p>
        </w:tc>
        <w:tc>
          <w:tcPr>
            <w:tcW w:type="dxa" w:w="1440"/>
          </w:tcPr>
          <w:p>
            <w:r>
              <w:rPr>
                <w:rFonts w:ascii="Arial" w:hAnsi="Arial"/>
                <w:sz w:val="20"/>
              </w:rPr>
              <w:t>8%</w:t>
            </w:r>
          </w:p>
        </w:tc>
        <w:tc>
          <w:tcPr>
            <w:tcW w:type="dxa" w:w="1440"/>
          </w:tcPr>
          <w:p>
            <w:r>
              <w:rPr>
                <w:rFonts w:ascii="Arial" w:hAnsi="Arial"/>
                <w:sz w:val="20"/>
              </w:rPr>
              <w:t>3.2</w:t>
            </w:r>
          </w:p>
        </w:tc>
        <w:tc>
          <w:tcPr>
            <w:tcW w:type="dxa" w:w="1440"/>
          </w:tcPr>
          <w:p>
            <w:r>
              <w:rPr>
                <w:rFonts w:ascii="Arial" w:hAnsi="Arial"/>
                <w:sz w:val="20"/>
              </w:rPr>
              <w:t>3.9</w:t>
            </w:r>
          </w:p>
        </w:tc>
        <w:tc>
          <w:tcPr>
            <w:tcW w:type="dxa" w:w="1440"/>
          </w:tcPr>
          <w:p>
            <w:r>
              <w:rPr>
                <w:rFonts w:ascii="Arial" w:hAnsi="Arial"/>
                <w:sz w:val="20"/>
              </w:rPr>
              <w:t>Low</w:t>
            </w:r>
          </w:p>
        </w:tc>
      </w:tr>
    </w:tbl>
    <w:p>
      <w:pPr>
        <w:pStyle w:val="Heading1"/>
      </w:pPr>
      <w:r>
        <w:rPr>
          <w:rFonts w:ascii="Arial" w:hAnsi="Arial"/>
          <w:color w:val="1F2A44"/>
        </w:rPr>
        <w:t>8. Key topics covered</w:t>
      </w:r>
    </w:p>
    <w:p>
      <w:pPr>
        <w:pStyle w:val="ListBullet"/>
      </w:pPr>
      <w:r>
        <w:rPr>
          <w:rFonts w:ascii="Arial" w:hAnsi="Arial"/>
          <w:sz w:val="22"/>
        </w:rPr>
        <w:t>Accounts</w:t>
      </w:r>
    </w:p>
    <w:p>
      <w:pPr>
        <w:pStyle w:val="ListBullet"/>
      </w:pPr>
      <w:r>
        <w:rPr>
          <w:rFonts w:ascii="Arial" w:hAnsi="Arial"/>
          <w:sz w:val="22"/>
        </w:rPr>
        <w:t>Rationalisation</w:t>
      </w:r>
    </w:p>
    <w:p>
      <w:pPr>
        <w:pStyle w:val="Heading1"/>
      </w:pPr>
      <w:r>
        <w:rPr>
          <w:rFonts w:ascii="Arial" w:hAnsi="Arial"/>
          <w:color w:val="1F2A44"/>
        </w:rPr>
        <w:t>9. Implementation notes</w:t>
      </w:r>
    </w:p>
    <w:p>
      <w:pPr>
        <w:pStyle w:val="ListBullet"/>
      </w:pPr>
      <w:r>
        <w:rPr>
          <w:rFonts w:ascii="Arial" w:hAnsi="Arial"/>
          <w:sz w:val="22"/>
        </w:rPr>
        <w:t>Localise to your group's chart of accounts, currencies and entity structure before first use.</w:t>
      </w:r>
    </w:p>
    <w:p>
      <w:pPr>
        <w:pStyle w:val="ListBullet"/>
      </w:pPr>
      <w:r>
        <w:rPr>
          <w:rFonts w:ascii="Arial" w:hAnsi="Arial"/>
          <w:sz w:val="22"/>
        </w:rPr>
        <w:t>Wire the outputs into existing treasury / FP&amp;A reporting cadences rather than running in parallel.</w:t>
      </w:r>
    </w:p>
    <w:p>
      <w:pPr>
        <w:pStyle w:val="ListBullet"/>
      </w:pPr>
      <w:r>
        <w:rPr>
          <w:rFonts w:ascii="Arial" w:hAnsi="Arial"/>
          <w:sz w:val="22"/>
        </w:rPr>
        <w:t>Capture data lineage so each figure can be traced back to its source system.</w:t>
      </w:r>
    </w:p>
    <w:p>
      <w:pPr>
        <w:pStyle w:val="ListBullet"/>
      </w:pPr>
      <w:r>
        <w:rPr>
          <w:rFonts w:ascii="Arial" w:hAnsi="Arial"/>
          <w:sz w:val="22"/>
        </w:rPr>
        <w:t>Run a dry cycle with a small business unit before group-wide rollout.</w:t>
      </w:r>
    </w:p>
    <w:p>
      <w:pPr>
        <w:pStyle w:val="ListBullet"/>
      </w:pPr>
      <w:r>
        <w:rPr>
          <w:rFonts w:ascii="Arial" w:hAnsi="Arial"/>
          <w:sz w:val="22"/>
        </w:rPr>
        <w:t>Pair with the related Outliers framework and assessment to track maturity uplift over time.</w:t>
      </w:r>
    </w:p>
    <w:p>
      <w:r>
        <w:rPr>
          <w:rFonts w:ascii="Arial" w:hAnsi="Arial"/>
          <w:sz w:val="22"/>
        </w:rPr>
        <w:t xml:space="preserve"> </w:t>
      </w:r>
    </w:p>
    <w:p>
      <w:r>
        <w:rPr>
          <w:rFonts w:ascii="Arial" w:hAnsi="Arial"/>
          <w:color w:val="555555"/>
          <w:sz w:val="16"/>
        </w:rPr>
        <w:t>© Outliers Professional. Provided for licensed use within the buying organisation. Not for redistribution.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