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Annual Funding Strategy Template</w:t>
      </w:r>
    </w:p>
    <w:p>
      <w:r>
        <w:rPr>
          <w:rFonts w:ascii="Arial" w:hAnsi="Arial"/>
          <w:b/>
          <w:sz w:val="22"/>
        </w:rPr>
        <w:t>Template · Debt &amp; Funding · Enterprise tier</w:t>
      </w:r>
    </w:p>
    <w:p>
      <w:r>
        <w:rPr>
          <w:rFonts w:ascii="Arial" w:hAnsi="Arial"/>
          <w:sz w:val="22"/>
        </w:rPr>
        <w:t>Twelve-month funding plan by source, tenor and currency.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Builds funding need by quarter, maps to instruments and counterparties, and gates execution against board limits.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Treasurer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template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Open the working sections and confirm scope, period and currencies.</w:t>
      </w:r>
    </w:p>
    <w:p>
      <w:pPr>
        <w:pStyle w:val="ListNumber"/>
      </w:pPr>
      <w:r>
        <w:rPr>
          <w:rFonts w:ascii="Arial" w:hAnsi="Arial"/>
          <w:sz w:val="22"/>
        </w:rPr>
        <w:t>Populate inputs from source systems or treasury management system extracts.</w:t>
      </w:r>
    </w:p>
    <w:p>
      <w:pPr>
        <w:pStyle w:val="ListNumber"/>
      </w:pPr>
      <w:r>
        <w:rPr>
          <w:rFonts w:ascii="Arial" w:hAnsi="Arial"/>
          <w:sz w:val="22"/>
        </w:rPr>
        <w:t>Review variance / exception bands and triage red items first.</w:t>
      </w:r>
    </w:p>
    <w:p>
      <w:pPr>
        <w:pStyle w:val="ListNumber"/>
      </w:pPr>
      <w:r>
        <w:rPr>
          <w:rFonts w:ascii="Arial" w:hAnsi="Arial"/>
          <w:sz w:val="22"/>
        </w:rPr>
        <w:t>Document explanations and corrective actions alongside the data.</w:t>
      </w:r>
    </w:p>
    <w:p>
      <w:pPr>
        <w:pStyle w:val="ListNumber"/>
      </w:pPr>
      <w:r>
        <w:rPr>
          <w:rFonts w:ascii="Arial" w:hAnsi="Arial"/>
          <w:sz w:val="22"/>
        </w:rPr>
        <w:t>Submit for review and approval by the named reviewer.</w:t>
      </w:r>
    </w:p>
    <w:p>
      <w:pPr>
        <w:pStyle w:val="ListNumber"/>
      </w:pPr>
      <w:r>
        <w:rPr>
          <w:rFonts w:ascii="Arial" w:hAnsi="Arial"/>
          <w:sz w:val="22"/>
        </w:rPr>
        <w:t>Archive a signed copy in the evidence repository for audit trail.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Facility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Lender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Currency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Drawn (m)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Tenor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All-in Cost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b/>
                <w:sz w:val="20"/>
              </w:rPr>
              <w:t>Covenant Headroom</w:t>
            </w:r>
          </w:p>
        </w:tc>
      </w:tr>
      <w:tr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Term Loan A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Bank 1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NGN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8000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5y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16.50%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23% on Net Debt/EBITDA</w:t>
            </w:r>
          </w:p>
        </w:tc>
      </w:tr>
      <w:tr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RCF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Bank 2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USD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25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3y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SOFR+475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Undrawn</w:t>
            </w:r>
          </w:p>
        </w:tc>
      </w:tr>
      <w:tr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Bond Series I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Capital Mkts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NGN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15000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7y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17.25%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31% on Interest Cover</w:t>
            </w:r>
          </w:p>
        </w:tc>
      </w:tr>
      <w:tr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DFI Facility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DFI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USD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40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10y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SOFR+390</w:t>
            </w:r>
          </w:p>
        </w:tc>
        <w:tc>
          <w:tcPr>
            <w:tcW w:type="dxa" w:w="1234"/>
          </w:tcPr>
          <w:p>
            <w:r>
              <w:rPr>
                <w:rFonts w:ascii="Arial" w:hAnsi="Arial"/>
                <w:sz w:val="20"/>
              </w:rPr>
              <w:t>On track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Funding plan</w:t>
      </w:r>
    </w:p>
    <w:p>
      <w:pPr>
        <w:pStyle w:val="ListBullet"/>
      </w:pPr>
      <w:r>
        <w:rPr>
          <w:rFonts w:ascii="Arial" w:hAnsi="Arial"/>
          <w:sz w:val="22"/>
        </w:rPr>
        <w:t>Sources</w:t>
      </w:r>
    </w:p>
    <w:p>
      <w:pPr>
        <w:pStyle w:val="ListBullet"/>
      </w:pPr>
      <w:r>
        <w:rPr>
          <w:rFonts w:ascii="Arial" w:hAnsi="Arial"/>
          <w:sz w:val="22"/>
        </w:rPr>
        <w:t>Tenor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