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CORPORATE GOVERNANCE CENTRE™</w:t>
      </w:r>
    </w:p>
    <w:p>
      <w:pPr>
        <w:jc w:val="center"/>
      </w:pPr>
      <w:r>
        <w:rPr>
          <w:b/>
          <w:color w:val="10243F"/>
          <w:sz w:val="48"/>
        </w:rPr>
        <w:t>Board Charter</w:t>
      </w:r>
    </w:p>
    <w:p>
      <w:pPr>
        <w:jc w:val="center"/>
      </w:pPr>
      <w:r>
        <w:rPr>
          <w:color w:val="C97B2C"/>
          <w:sz w:val="26"/>
        </w:rPr>
        <w:t>Board governance resource</w:t>
      </w:r>
    </w:p>
    <w:p/>
    <w:p/>
    <w:p>
      <w:pPr>
        <w:jc w:val="center"/>
      </w:pPr>
      <w:r>
        <w:rPr>
          <w:color w:val="555555"/>
          <w:sz w:val="20"/>
        </w:rPr>
        <w:t>Board / Company Secretary  ·  Flagship Edition 2026</w:t>
      </w:r>
    </w:p>
    <w:p>
      <w:pPr>
        <w:jc w:val="center"/>
      </w:pPr>
      <w:r>
        <w:rPr>
          <w:i/>
          <w:color w:val="555555"/>
          <w:sz w:val="17"/>
        </w:rPr>
        <w:t>Nigeria-anchored: NCCG 2018 · FRCN · SEC · CBN · NAICOM · CAC · CAMA  ·  Aligned to OECD · IFC · King IV · ISO 37000</w:t>
      </w:r>
    </w:p>
    <w:p>
      <w:r>
        <w:br w:type="page"/>
      </w:r>
    </w:p>
    <w:p>
      <w:pPr>
        <w:pStyle w:val="Heading1"/>
      </w:pPr>
      <w:r>
        <w:t>1. Purpose</w:t>
      </w:r>
    </w:p>
    <w:p>
      <w:r>
        <w:rPr>
          <w:b w:val="0"/>
          <w:i w:val="0"/>
          <w:sz w:val="20"/>
        </w:rPr>
        <w:t>This Charter sets out the role, composition, responsibilities and operation of the Board of [Company]. It is the apex governance document, aligned to the NCCG 2018, CAMA and (where applicable) the requirements of the relevant regulator (SEC, CBN, NAICOM). It establishes how the Board provides leadership, sets direction, and exercises oversight on behalf of shareholders and stakeholders.</w:t>
      </w:r>
    </w:p>
    <w:p>
      <w:pPr>
        <w:pStyle w:val="Heading1"/>
      </w:pPr>
      <w:r>
        <w:t>2. Composition &amp; Membership</w:t>
      </w:r>
    </w:p>
    <w:tbl>
      <w:tblPr>
        <w:tblStyle w:val="TableGrid"/>
        <w:tblW w:type="auto" w:w="0"/>
        <w:jc w:val="center"/>
        <w:tblLook w:firstColumn="1" w:firstRow="1" w:lastColumn="0" w:lastRow="0" w:noHBand="0" w:noVBand="1" w:val="04A0"/>
      </w:tblPr>
      <w:tblGrid>
        <w:gridCol w:w="4896"/>
        <w:gridCol w:w="4896"/>
      </w:tblGrid>
      <w:tr>
        <w:tc>
          <w:tcPr>
            <w:tcW w:type="dxa" w:w="2736"/>
            <w:shd w:val="clear" w:fill="1B4D89"/>
          </w:tcPr>
          <w:p>
            <w:r/>
            <w:r>
              <w:rPr>
                <w:rFonts w:ascii="Arial" w:hAnsi="Arial"/>
                <w:b/>
                <w:color w:val="FFFFFF"/>
                <w:sz w:val="16"/>
              </w:rPr>
              <w:t>Item</w:t>
            </w:r>
          </w:p>
        </w:tc>
        <w:tc>
          <w:tcPr>
            <w:tcW w:type="dxa" w:w="8784"/>
            <w:shd w:val="clear" w:fill="1B4D89"/>
          </w:tcPr>
          <w:p>
            <w:r/>
            <w:r>
              <w:rPr>
                <w:rFonts w:ascii="Arial" w:hAnsi="Arial"/>
                <w:b/>
                <w:color w:val="FFFFFF"/>
                <w:sz w:val="16"/>
              </w:rPr>
              <w:t>Provision</w:t>
            </w:r>
          </w:p>
        </w:tc>
      </w:tr>
      <w:tr>
        <w:tc>
          <w:tcPr>
            <w:tcW w:type="dxa" w:w="2736"/>
          </w:tcPr>
          <w:p>
            <w:r/>
            <w:r>
              <w:rPr>
                <w:rFonts w:ascii="Arial" w:hAnsi="Arial"/>
                <w:b w:val="0"/>
                <w:sz w:val="16"/>
              </w:rPr>
              <w:t>Size</w:t>
            </w:r>
          </w:p>
        </w:tc>
        <w:tc>
          <w:tcPr>
            <w:tcW w:type="dxa" w:w="8784"/>
          </w:tcPr>
          <w:p>
            <w:r/>
            <w:r>
              <w:rPr>
                <w:rFonts w:ascii="Arial" w:hAnsi="Arial"/>
                <w:b w:val="0"/>
                <w:sz w:val="16"/>
              </w:rPr>
              <w:t>As set by the Articles and the Board, ensuring effective composition</w:t>
            </w:r>
          </w:p>
        </w:tc>
      </w:tr>
      <w:tr>
        <w:tc>
          <w:tcPr>
            <w:tcW w:type="dxa" w:w="2736"/>
            <w:shd w:val="clear" w:fill="F4F7FB"/>
          </w:tcPr>
          <w:p>
            <w:r/>
            <w:r>
              <w:rPr>
                <w:rFonts w:ascii="Arial" w:hAnsi="Arial"/>
                <w:b w:val="0"/>
                <w:sz w:val="16"/>
              </w:rPr>
              <w:t>Balance</w:t>
            </w:r>
          </w:p>
        </w:tc>
        <w:tc>
          <w:tcPr>
            <w:tcW w:type="dxa" w:w="8784"/>
            <w:shd w:val="clear" w:fill="F4F7FB"/>
          </w:tcPr>
          <w:p>
            <w:r/>
            <w:r>
              <w:rPr>
                <w:rFonts w:ascii="Arial" w:hAnsi="Arial"/>
                <w:b w:val="0"/>
                <w:sz w:val="16"/>
              </w:rPr>
              <w:t>An appropriate balance of executive and non-executive directors</w:t>
            </w:r>
          </w:p>
        </w:tc>
      </w:tr>
      <w:tr>
        <w:tc>
          <w:tcPr>
            <w:tcW w:type="dxa" w:w="2736"/>
          </w:tcPr>
          <w:p>
            <w:r/>
            <w:r>
              <w:rPr>
                <w:rFonts w:ascii="Arial" w:hAnsi="Arial"/>
                <w:b w:val="0"/>
                <w:sz w:val="16"/>
              </w:rPr>
              <w:t>Independence</w:t>
            </w:r>
          </w:p>
        </w:tc>
        <w:tc>
          <w:tcPr>
            <w:tcW w:type="dxa" w:w="8784"/>
          </w:tcPr>
          <w:p>
            <w:r/>
            <w:r>
              <w:rPr>
                <w:rFonts w:ascii="Arial" w:hAnsi="Arial"/>
                <w:b w:val="0"/>
                <w:sz w:val="16"/>
              </w:rPr>
              <w:t>A sufficient number of independent non-executive directors per the code</w:t>
            </w:r>
          </w:p>
        </w:tc>
      </w:tr>
      <w:tr>
        <w:tc>
          <w:tcPr>
            <w:tcW w:type="dxa" w:w="2736"/>
            <w:shd w:val="clear" w:fill="F4F7FB"/>
          </w:tcPr>
          <w:p>
            <w:r/>
            <w:r>
              <w:rPr>
                <w:rFonts w:ascii="Arial" w:hAnsi="Arial"/>
                <w:b w:val="0"/>
                <w:sz w:val="16"/>
              </w:rPr>
              <w:t>Chair</w:t>
            </w:r>
          </w:p>
        </w:tc>
        <w:tc>
          <w:tcPr>
            <w:tcW w:type="dxa" w:w="8784"/>
            <w:shd w:val="clear" w:fill="F4F7FB"/>
          </w:tcPr>
          <w:p>
            <w:r/>
            <w:r>
              <w:rPr>
                <w:rFonts w:ascii="Arial" w:hAnsi="Arial"/>
                <w:b w:val="0"/>
                <w:sz w:val="16"/>
              </w:rPr>
              <w:t>An appropriately independent Chair, with the roles of Chair and CEO separated</w:t>
            </w:r>
          </w:p>
        </w:tc>
      </w:tr>
      <w:tr>
        <w:tc>
          <w:tcPr>
            <w:tcW w:type="dxa" w:w="2736"/>
          </w:tcPr>
          <w:p>
            <w:r/>
            <w:r>
              <w:rPr>
                <w:rFonts w:ascii="Arial" w:hAnsi="Arial"/>
                <w:b w:val="0"/>
                <w:sz w:val="16"/>
              </w:rPr>
              <w:t>Company Secretary</w:t>
            </w:r>
          </w:p>
        </w:tc>
        <w:tc>
          <w:tcPr>
            <w:tcW w:type="dxa" w:w="8784"/>
          </w:tcPr>
          <w:p>
            <w:r/>
            <w:r>
              <w:rPr>
                <w:rFonts w:ascii="Arial" w:hAnsi="Arial"/>
                <w:b w:val="0"/>
                <w:sz w:val="16"/>
              </w:rPr>
              <w:t>The Board is supported by a qualified Company Secretary</w:t>
            </w:r>
          </w:p>
        </w:tc>
      </w:tr>
    </w:tbl>
    <w:p>
      <w:pPr>
        <w:pStyle w:val="Heading1"/>
      </w:pPr>
      <w:r>
        <w:t>3. Responsibilities</w:t>
      </w:r>
    </w:p>
    <w:p>
      <w:pPr>
        <w:pStyle w:val="ListBullet"/>
      </w:pPr>
      <w:r>
        <w:rPr>
          <w:sz w:val="19"/>
        </w:rPr>
        <w:t>Provide entrepreneurial leadership within a framework of prudent and effective controls</w:t>
      </w:r>
    </w:p>
    <w:p>
      <w:pPr>
        <w:pStyle w:val="ListBullet"/>
      </w:pPr>
      <w:r>
        <w:rPr>
          <w:sz w:val="19"/>
        </w:rPr>
        <w:t>Set the vision, strategy and values and oversee execution</w:t>
      </w:r>
    </w:p>
    <w:p>
      <w:pPr>
        <w:pStyle w:val="ListBullet"/>
      </w:pPr>
      <w:r>
        <w:rPr>
          <w:sz w:val="19"/>
        </w:rPr>
        <w:t>Approve major decisions, capital and risk appetite</w:t>
      </w:r>
    </w:p>
    <w:p>
      <w:pPr>
        <w:pStyle w:val="ListBullet"/>
      </w:pPr>
      <w:r>
        <w:rPr>
          <w:sz w:val="19"/>
        </w:rPr>
        <w:t>Oversee risk management and internal control</w:t>
      </w:r>
    </w:p>
    <w:p>
      <w:pPr>
        <w:pStyle w:val="ListBullet"/>
      </w:pPr>
      <w:r>
        <w:rPr>
          <w:sz w:val="19"/>
        </w:rPr>
        <w:t>Oversee financial reporting, disclosure and the external audit relationship</w:t>
      </w:r>
    </w:p>
    <w:p>
      <w:pPr>
        <w:pStyle w:val="ListBullet"/>
      </w:pPr>
      <w:r>
        <w:rPr>
          <w:sz w:val="19"/>
        </w:rPr>
        <w:t>Ensure effective governance, ethics and a healthy culture</w:t>
      </w:r>
    </w:p>
    <w:p>
      <w:pPr>
        <w:pStyle w:val="ListBullet"/>
      </w:pPr>
      <w:r>
        <w:rPr>
          <w:sz w:val="19"/>
        </w:rPr>
        <w:t>Oversee succession and board composition</w:t>
      </w:r>
    </w:p>
    <w:p>
      <w:pPr>
        <w:pStyle w:val="ListBullet"/>
      </w:pPr>
      <w:r>
        <w:rPr>
          <w:sz w:val="19"/>
        </w:rPr>
        <w:t>Account to shareholders and consider stakeholders</w:t>
      </w:r>
    </w:p>
    <w:p>
      <w:pPr>
        <w:pStyle w:val="Heading1"/>
      </w:pPr>
      <w:r>
        <w:t>6. Matters Reserved for the Board</w:t>
      </w:r>
    </w:p>
    <w:p>
      <w:pPr>
        <w:pStyle w:val="ListBullet"/>
      </w:pPr>
      <w:r>
        <w:rPr>
          <w:sz w:val="19"/>
        </w:rPr>
        <w:t>Strategy and annual plans and budgets</w:t>
      </w:r>
    </w:p>
    <w:p>
      <w:pPr>
        <w:pStyle w:val="ListBullet"/>
      </w:pPr>
      <w:r>
        <w:rPr>
          <w:sz w:val="19"/>
        </w:rPr>
        <w:t>Major capital expenditure, acquisitions and disposals</w:t>
      </w:r>
    </w:p>
    <w:p>
      <w:pPr>
        <w:pStyle w:val="ListBullet"/>
      </w:pPr>
      <w:r>
        <w:rPr>
          <w:sz w:val="19"/>
        </w:rPr>
        <w:t>Risk appetite and the system of internal control</w:t>
      </w:r>
    </w:p>
    <w:p>
      <w:pPr>
        <w:pStyle w:val="ListBullet"/>
      </w:pPr>
      <w:r>
        <w:rPr>
          <w:sz w:val="19"/>
        </w:rPr>
        <w:t>Financial statements, dividends and major announcements</w:t>
      </w:r>
    </w:p>
    <w:p>
      <w:pPr>
        <w:pStyle w:val="ListBullet"/>
      </w:pPr>
      <w:r>
        <w:rPr>
          <w:sz w:val="19"/>
        </w:rPr>
        <w:t>Board and committee composition and senior appointments</w:t>
      </w:r>
    </w:p>
    <w:p>
      <w:pPr>
        <w:pStyle w:val="ListBullet"/>
      </w:pPr>
      <w:r>
        <w:rPr>
          <w:sz w:val="19"/>
        </w:rPr>
        <w:t>Governance framework, key policies and delegations of authority</w:t>
      </w:r>
    </w:p>
    <w:p>
      <w:pPr>
        <w:pStyle w:val="Heading1"/>
      </w:pPr>
      <w:r>
        <w:t>4. Meetings &amp; Operation</w:t>
      </w:r>
    </w:p>
    <w:tbl>
      <w:tblPr>
        <w:tblStyle w:val="TableGrid"/>
        <w:tblW w:type="auto" w:w="0"/>
        <w:jc w:val="center"/>
        <w:tblLook w:firstColumn="1" w:firstRow="1" w:lastColumn="0" w:lastRow="0" w:noHBand="0" w:noVBand="1" w:val="04A0"/>
      </w:tblPr>
      <w:tblGrid>
        <w:gridCol w:w="4896"/>
        <w:gridCol w:w="4896"/>
      </w:tblGrid>
      <w:tr>
        <w:tc>
          <w:tcPr>
            <w:tcW w:type="dxa" w:w="2736"/>
            <w:shd w:val="clear" w:fill="1B4D89"/>
          </w:tcPr>
          <w:p>
            <w:r/>
            <w:r>
              <w:rPr>
                <w:rFonts w:ascii="Arial" w:hAnsi="Arial"/>
                <w:b/>
                <w:color w:val="FFFFFF"/>
                <w:sz w:val="16"/>
              </w:rPr>
              <w:t>Item</w:t>
            </w:r>
          </w:p>
        </w:tc>
        <w:tc>
          <w:tcPr>
            <w:tcW w:type="dxa" w:w="8784"/>
            <w:shd w:val="clear" w:fill="1B4D89"/>
          </w:tcPr>
          <w:p>
            <w:r/>
            <w:r>
              <w:rPr>
                <w:rFonts w:ascii="Arial" w:hAnsi="Arial"/>
                <w:b/>
                <w:color w:val="FFFFFF"/>
                <w:sz w:val="16"/>
              </w:rPr>
              <w:t>Provision</w:t>
            </w:r>
          </w:p>
        </w:tc>
      </w:tr>
      <w:tr>
        <w:tc>
          <w:tcPr>
            <w:tcW w:type="dxa" w:w="2736"/>
          </w:tcPr>
          <w:p>
            <w:r/>
            <w:r>
              <w:rPr>
                <w:rFonts w:ascii="Arial" w:hAnsi="Arial"/>
                <w:b w:val="0"/>
                <w:sz w:val="16"/>
              </w:rPr>
              <w:t>Frequency</w:t>
            </w:r>
          </w:p>
        </w:tc>
        <w:tc>
          <w:tcPr>
            <w:tcW w:type="dxa" w:w="8784"/>
          </w:tcPr>
          <w:p>
            <w:r/>
            <w:r>
              <w:rPr>
                <w:rFonts w:ascii="Arial" w:hAnsi="Arial"/>
                <w:b w:val="0"/>
                <w:sz w:val="16"/>
              </w:rPr>
              <w:t>At least quarterly, and as required</w:t>
            </w:r>
          </w:p>
        </w:tc>
      </w:tr>
      <w:tr>
        <w:tc>
          <w:tcPr>
            <w:tcW w:type="dxa" w:w="2736"/>
            <w:shd w:val="clear" w:fill="F4F7FB"/>
          </w:tcPr>
          <w:p>
            <w:r/>
            <w:r>
              <w:rPr>
                <w:rFonts w:ascii="Arial" w:hAnsi="Arial"/>
                <w:b w:val="0"/>
                <w:sz w:val="16"/>
              </w:rPr>
              <w:t>Agenda</w:t>
            </w:r>
          </w:p>
        </w:tc>
        <w:tc>
          <w:tcPr>
            <w:tcW w:type="dxa" w:w="8784"/>
            <w:shd w:val="clear" w:fill="F4F7FB"/>
          </w:tcPr>
          <w:p>
            <w:r/>
            <w:r>
              <w:rPr>
                <w:rFonts w:ascii="Arial" w:hAnsi="Arial"/>
                <w:b w:val="0"/>
                <w:sz w:val="16"/>
              </w:rPr>
              <w:t>Set by the Chair with the Company Secretary</w:t>
            </w:r>
          </w:p>
        </w:tc>
      </w:tr>
      <w:tr>
        <w:tc>
          <w:tcPr>
            <w:tcW w:type="dxa" w:w="2736"/>
          </w:tcPr>
          <w:p>
            <w:r/>
            <w:r>
              <w:rPr>
                <w:rFonts w:ascii="Arial" w:hAnsi="Arial"/>
                <w:b w:val="0"/>
                <w:sz w:val="16"/>
              </w:rPr>
              <w:t>Papers</w:t>
            </w:r>
          </w:p>
        </w:tc>
        <w:tc>
          <w:tcPr>
            <w:tcW w:type="dxa" w:w="8784"/>
          </w:tcPr>
          <w:p>
            <w:r/>
            <w:r>
              <w:rPr>
                <w:rFonts w:ascii="Arial" w:hAnsi="Arial"/>
                <w:b w:val="0"/>
                <w:sz w:val="16"/>
              </w:rPr>
              <w:t>Issued in advance to the board paper standard</w:t>
            </w:r>
          </w:p>
        </w:tc>
      </w:tr>
      <w:tr>
        <w:tc>
          <w:tcPr>
            <w:tcW w:type="dxa" w:w="2736"/>
            <w:shd w:val="clear" w:fill="F4F7FB"/>
          </w:tcPr>
          <w:p>
            <w:r/>
            <w:r>
              <w:rPr>
                <w:rFonts w:ascii="Arial" w:hAnsi="Arial"/>
                <w:b w:val="0"/>
                <w:sz w:val="16"/>
              </w:rPr>
              <w:t>Quorum</w:t>
            </w:r>
          </w:p>
        </w:tc>
        <w:tc>
          <w:tcPr>
            <w:tcW w:type="dxa" w:w="8784"/>
            <w:shd w:val="clear" w:fill="F4F7FB"/>
          </w:tcPr>
          <w:p>
            <w:r/>
            <w:r>
              <w:rPr>
                <w:rFonts w:ascii="Arial" w:hAnsi="Arial"/>
                <w:b w:val="0"/>
                <w:sz w:val="16"/>
              </w:rPr>
              <w:t>As set in the Articles</w:t>
            </w:r>
          </w:p>
        </w:tc>
      </w:tr>
      <w:tr>
        <w:tc>
          <w:tcPr>
            <w:tcW w:type="dxa" w:w="2736"/>
          </w:tcPr>
          <w:p>
            <w:r/>
            <w:r>
              <w:rPr>
                <w:rFonts w:ascii="Arial" w:hAnsi="Arial"/>
                <w:b w:val="0"/>
                <w:sz w:val="16"/>
              </w:rPr>
              <w:t>Minutes</w:t>
            </w:r>
          </w:p>
        </w:tc>
        <w:tc>
          <w:tcPr>
            <w:tcW w:type="dxa" w:w="8784"/>
          </w:tcPr>
          <w:p>
            <w:r/>
            <w:r>
              <w:rPr>
                <w:rFonts w:ascii="Arial" w:hAnsi="Arial"/>
                <w:b w:val="0"/>
                <w:sz w:val="16"/>
              </w:rPr>
              <w:t>Maintained by the Company Secretary</w:t>
            </w:r>
          </w:p>
        </w:tc>
      </w:tr>
      <w:tr>
        <w:tc>
          <w:tcPr>
            <w:tcW w:type="dxa" w:w="2736"/>
            <w:shd w:val="clear" w:fill="F4F7FB"/>
          </w:tcPr>
          <w:p>
            <w:r/>
            <w:r>
              <w:rPr>
                <w:rFonts w:ascii="Arial" w:hAnsi="Arial"/>
                <w:b w:val="0"/>
                <w:sz w:val="16"/>
              </w:rPr>
              <w:t>Committees</w:t>
            </w:r>
          </w:p>
        </w:tc>
        <w:tc>
          <w:tcPr>
            <w:tcW w:type="dxa" w:w="8784"/>
            <w:shd w:val="clear" w:fill="F4F7FB"/>
          </w:tcPr>
          <w:p>
            <w:r/>
            <w:r>
              <w:rPr>
                <w:rFonts w:ascii="Arial" w:hAnsi="Arial"/>
                <w:b w:val="0"/>
                <w:sz w:val="16"/>
              </w:rPr>
              <w:t>The Board delegates to committees under their charters, retaining accountability</w:t>
            </w:r>
          </w:p>
        </w:tc>
      </w:tr>
    </w:tbl>
    <w:p>
      <w:pPr>
        <w:pStyle w:val="Heading1"/>
      </w:pPr>
      <w:r>
        <w:t>5. Authority, Reporting &amp; Review</w:t>
      </w:r>
    </w:p>
    <w:p>
      <w:r>
        <w:rPr>
          <w:b w:val="0"/>
          <w:i w:val="0"/>
          <w:sz w:val="20"/>
        </w:rPr>
        <w:t>The body may obtain any information it requires and access management and external advisers. It reports to the board after each meeting. This charter is reviewed at least annually and updated for changes in the NCCG 2018, CAMA, applicable regulator guidance (SEC, CBN, NAICOM as relevant) or the organisation's structure.</w:t>
      </w:r>
    </w:p>
    <w:p>
      <w:pPr>
        <w:pStyle w:val="Heading2"/>
      </w:pPr>
      <w:r>
        <w:t>Notes &amp; Disclaimer</w:t>
      </w:r>
    </w:p>
    <w:p>
      <w:r>
        <w:rPr>
          <w:b w:val="0"/>
          <w:i/>
          <w:sz w:val="18"/>
        </w:rPr>
        <w:t>This resource is a professional governance template, not legal advice. It is anchored to the NCCG 2018 and Nigeria's regulatory framework (FRCN, SEC, CBN, NAICOM, CAC, CAMA) with international alignment (OECD, IFC, King IV, ISO 37000), referenced by name. Organisations must apply the current text of each applicable code, law and regulator guideline and take professional counsel. Bracketed fields [like this] are placeholders to complete.</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