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BUSINESS STRATEGY CENTRE™</w:t>
      </w:r>
    </w:p>
    <w:p>
      <w:pPr>
        <w:jc w:val="center"/>
      </w:pPr>
      <w:r>
        <w:rPr>
          <w:b/>
          <w:color w:val="10243F"/>
          <w:sz w:val="50"/>
        </w:rPr>
        <w:t>Growth Strategy Toolkit™</w:t>
      </w:r>
    </w:p>
    <w:p>
      <w:pPr>
        <w:jc w:val="center"/>
      </w:pPr>
      <w:r>
        <w:rPr>
          <w:color w:val="C97B2C"/>
          <w:sz w:val="26"/>
        </w:rPr>
        <w:t>Identify and pursue profitable growth</w:t>
      </w:r>
    </w:p>
    <w:p/>
    <w:p/>
    <w:p>
      <w:pPr>
        <w:jc w:val="center"/>
      </w:pPr>
      <w:r>
        <w:rPr>
          <w:color w:val="555555"/>
          <w:sz w:val="20"/>
        </w:rPr>
        <w:t>CEO / Strategy / BU Leaders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Growth strategy identifies and pursues the best paths to profitable growth across core, adjacent and new vectors. This toolkit sizes opportunities, prioritises them and builds a governed growth portfolio.</w:t>
      </w:r>
    </w:p>
    <w:p>
      <w:pPr>
        <w:pStyle w:val="Heading2"/>
      </w:pPr>
      <w:r>
        <w:t>Operating lifecycle</w:t>
      </w:r>
    </w:p>
    <w:p>
      <w:pPr>
        <w:pStyle w:val="ListNumber"/>
      </w:pPr>
      <w:r>
        <w:rPr>
          <w:sz w:val="19"/>
        </w:rPr>
        <w:t>Set ambition — quantified, time-bound growth goals</w:t>
      </w:r>
    </w:p>
    <w:p>
      <w:pPr>
        <w:pStyle w:val="ListNumber"/>
      </w:pPr>
      <w:r>
        <w:rPr>
          <w:sz w:val="19"/>
        </w:rPr>
        <w:t>Identify — growth opportunities across vectors</w:t>
      </w:r>
    </w:p>
    <w:p>
      <w:pPr>
        <w:pStyle w:val="ListNumber"/>
      </w:pPr>
      <w:r>
        <w:rPr>
          <w:sz w:val="19"/>
        </w:rPr>
        <w:t>Size — quantify and validate opportunities</w:t>
      </w:r>
    </w:p>
    <w:p>
      <w:pPr>
        <w:pStyle w:val="ListNumber"/>
      </w:pPr>
      <w:r>
        <w:rPr>
          <w:sz w:val="19"/>
        </w:rPr>
        <w:t>Prioritise — build the growth portfolio</w:t>
      </w:r>
    </w:p>
    <w:p>
      <w:pPr>
        <w:pStyle w:val="ListNumber"/>
      </w:pPr>
      <w:r>
        <w:rPr>
          <w:sz w:val="19"/>
        </w:rPr>
        <w:t>Govern — fund, track and adjust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Initial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Developing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Defined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Managed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Optimised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 hoc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Some structure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Managed &amp; measured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Adaptive &amp; advantage-creating</w:t>
            </w:r>
          </w:p>
        </w:tc>
      </w:tr>
    </w:tbl>
    <w:p>
      <w:pPr>
        <w:pStyle w:val="Heading2"/>
      </w:pPr>
      <w:r>
        <w:t>Key components</w:t>
      </w:r>
    </w:p>
    <w:p>
      <w:pPr>
        <w:pStyle w:val="ListBullet"/>
      </w:pPr>
      <w:r>
        <w:rPr>
          <w:sz w:val="19"/>
        </w:rPr>
        <w:t>Growth ambition</w:t>
      </w:r>
    </w:p>
    <w:p>
      <w:pPr>
        <w:pStyle w:val="ListBullet"/>
      </w:pPr>
      <w:r>
        <w:rPr>
          <w:sz w:val="19"/>
        </w:rPr>
        <w:t>Core growth</w:t>
      </w:r>
    </w:p>
    <w:p>
      <w:pPr>
        <w:pStyle w:val="ListBullet"/>
      </w:pPr>
      <w:r>
        <w:rPr>
          <w:sz w:val="19"/>
        </w:rPr>
        <w:t>Adjacent expansion</w:t>
      </w:r>
    </w:p>
    <w:p>
      <w:pPr>
        <w:pStyle w:val="ListBullet"/>
      </w:pPr>
      <w:r>
        <w:rPr>
          <w:sz w:val="19"/>
        </w:rPr>
        <w:t>New-market / new-offer growth</w:t>
      </w:r>
    </w:p>
    <w:p>
      <w:pPr>
        <w:pStyle w:val="ListBullet"/>
      </w:pPr>
      <w:r>
        <w:rPr>
          <w:sz w:val="19"/>
        </w:rPr>
        <w:t>Opportunity sizing</w:t>
      </w:r>
    </w:p>
    <w:p>
      <w:pPr>
        <w:pStyle w:val="ListBullet"/>
      </w:pPr>
      <w:r>
        <w:rPr>
          <w:sz w:val="19"/>
        </w:rPr>
        <w:t>Growth portfolio governance</w:t>
      </w:r>
    </w:p>
    <w:p>
      <w:pPr>
        <w:pStyle w:val="Heading1"/>
      </w:pPr>
      <w:r>
        <w:t>2. Templates</w:t>
      </w:r>
    </w:p>
    <w:p>
      <w:pPr>
        <w:pStyle w:val="Heading3"/>
      </w:pPr>
      <w:r>
        <w:t>Growth strategy guide</w:t>
      </w:r>
    </w:p>
    <w:p>
      <w:r>
        <w:rPr>
          <w:b w:val="0"/>
          <w:i w:val="0"/>
          <w:sz w:val="19"/>
        </w:rPr>
        <w:t>How to build a coherent growth strategy.</w:t>
      </w:r>
    </w:p>
    <w:p>
      <w:pPr>
        <w:pStyle w:val="Heading3"/>
      </w:pPr>
      <w:r>
        <w:t>Growth opportunity sizing workbook</w:t>
      </w:r>
    </w:p>
    <w:p>
      <w:r>
        <w:rPr>
          <w:b w:val="0"/>
          <w:i w:val="0"/>
          <w:sz w:val="19"/>
        </w:rPr>
        <w:t>Quantify and validate opportunities.</w:t>
      </w:r>
    </w:p>
    <w:p>
      <w:pPr>
        <w:pStyle w:val="Heading3"/>
      </w:pPr>
      <w:r>
        <w:t>Ansoff growth matrix template</w:t>
      </w:r>
    </w:p>
    <w:p>
      <w:r>
        <w:rPr>
          <w:b w:val="0"/>
          <w:i w:val="0"/>
          <w:sz w:val="19"/>
        </w:rPr>
        <w:t>Map growth across products and markets.</w:t>
      </w:r>
    </w:p>
    <w:p>
      <w:pPr>
        <w:pStyle w:val="Heading3"/>
      </w:pPr>
      <w:r>
        <w:t>Market attractiveness scorecard</w:t>
      </w:r>
    </w:p>
    <w:p>
      <w:r>
        <w:rPr>
          <w:b w:val="0"/>
          <w:i w:val="0"/>
          <w:sz w:val="19"/>
        </w:rPr>
        <w:t>Score and compare opportunities.</w:t>
      </w:r>
    </w:p>
    <w:p>
      <w:pPr>
        <w:pStyle w:val="Heading1"/>
      </w:pPr>
      <w:r>
        <w:t>3. Sample Output</w:t>
      </w:r>
    </w:p>
    <w:p>
      <w:r>
        <w:rPr>
          <w:b w:val="0"/>
          <w:i/>
          <w:sz w:val="19"/>
        </w:rPr>
        <w:t>Illustrative growth readiness (from the Growth Strategy Assessment — sample bands):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Domain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Indicative band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Growth ambition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Established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Opportunity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Developing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Capacity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Developing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Prioritisation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Established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Governance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Developing</w:t>
            </w:r>
          </w:p>
        </w:tc>
      </w:tr>
    </w:tbl>
    <w:p>
      <w:pPr>
        <w:pStyle w:val="Heading1"/>
      </w:pPr>
      <w:r>
        <w:t>4. Checklists</w:t>
      </w:r>
    </w:p>
    <w:p>
      <w:pPr>
        <w:ind w:left="288"/>
      </w:pPr>
      <w:r>
        <w:rPr>
          <w:sz w:val="19"/>
        </w:rPr>
        <w:t>☐  Growth ambition is explicit and quantified</w:t>
      </w:r>
    </w:p>
    <w:p>
      <w:pPr>
        <w:ind w:left="288"/>
      </w:pPr>
      <w:r>
        <w:rPr>
          <w:sz w:val="19"/>
        </w:rPr>
        <w:t>☐  Opportunities identified across core, adjacent and new</w:t>
      </w:r>
    </w:p>
    <w:p>
      <w:pPr>
        <w:ind w:left="288"/>
      </w:pPr>
      <w:r>
        <w:rPr>
          <w:sz w:val="19"/>
        </w:rPr>
        <w:t>☐  Opportunities sized and validated</w:t>
      </w:r>
    </w:p>
    <w:p>
      <w:pPr>
        <w:ind w:left="288"/>
      </w:pPr>
      <w:r>
        <w:rPr>
          <w:sz w:val="19"/>
        </w:rPr>
        <w:t>☐  Capacity and capital to grow confirmed</w:t>
      </w:r>
    </w:p>
    <w:p>
      <w:pPr>
        <w:ind w:left="288"/>
      </w:pPr>
      <w:r>
        <w:rPr>
          <w:sz w:val="19"/>
        </w:rPr>
        <w:t>☐  Growth initiatives prioritised and funded</w:t>
      </w:r>
    </w:p>
    <w:p>
      <w:pPr>
        <w:ind w:left="288"/>
      </w:pPr>
      <w:r>
        <w:rPr>
          <w:sz w:val="19"/>
        </w:rPr>
        <w:t>☐  Growth governed and tracked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Growth is governed through the strategy/portfolio forum under board oversight: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80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Board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Approves strategy and capital; oversees value creation and strategic risk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Strategy / Executive Committee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Owns strategy, prioritises, governs execution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Strategy office / PMO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Runs the cycle, tracks initiatives, maintains the system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Business-unit leaders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 strategy and delivery in their units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Initiative owners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Deliver initiatives to plan, KPIs and milestones</w:t>
            </w:r>
          </w:p>
        </w:tc>
      </w:tr>
    </w:tbl>
    <w:p>
      <w:pPr>
        <w:pStyle w:val="Heading2"/>
      </w:pPr>
      <w:r>
        <w:t>Reporting Example</w:t>
      </w:r>
    </w:p>
    <w:p>
      <w:r>
        <w:rPr>
          <w:b w:val="0"/>
          <w:i w:val="0"/>
          <w:sz w:val="19"/>
        </w:rPr>
        <w:t>Standard report: executive summary · progress vs target (RAG) · key metrics · risks &amp; decisions.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Metric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Revenue growth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12%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≥15%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Accelerate priority bets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Pipeline coverage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2.5x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≥3x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Build pipeline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New-market contribution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4%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Rising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Scale entry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Growth initiatives funded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70%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Confirm funding</w:t>
            </w:r>
          </w:p>
        </w:tc>
      </w:tr>
    </w:tbl>
    <w:p>
      <w:pPr>
        <w:pStyle w:val="Heading2"/>
      </w:pPr>
      <w:r>
        <w:t>Board Reporting Section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Growth trajectory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Below ambition; pipeline building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Readiness</w:t>
            </w:r>
          </w:p>
        </w:tc>
        <w:tc>
          <w:tcPr>
            <w:tcW w:type="dxa" w:w="1440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Capacity and prioritisation developing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Opportunity</w:t>
            </w:r>
          </w:p>
        </w:tc>
        <w:tc>
          <w:tcPr>
            <w:tcW w:type="dxa" w:w="1440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Attractive opportunities identified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funding for top growth bets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resource. Calibrate frameworks, scoring, KPIs and governance to your organisation, sector and strategy. Targets and thresholds are illustrative and should be set by leadership.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