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BUSINESS STRATEGY CENTRE™</w:t>
      </w:r>
    </w:p>
    <w:p>
      <w:pPr>
        <w:jc w:val="center"/>
      </w:pPr>
      <w:r>
        <w:rPr>
          <w:b/>
          <w:color w:val="10243F"/>
          <w:sz w:val="50"/>
        </w:rPr>
        <w:t>Strategy Committee Charter</w:t>
      </w:r>
    </w:p>
    <w:p>
      <w:pPr>
        <w:jc w:val="center"/>
      </w:pPr>
      <w:r>
        <w:rPr>
          <w:color w:val="C97B2C"/>
          <w:sz w:val="26"/>
        </w:rPr>
        <w:t>Mandate, composition and operation of the Strategy Committee</w:t>
      </w:r>
    </w:p>
    <w:p/>
    <w:p/>
    <w:p>
      <w:pPr>
        <w:jc w:val="center"/>
      </w:pPr>
      <w:r>
        <w:rPr>
          <w:color w:val="555555"/>
          <w:sz w:val="20"/>
        </w:rPr>
        <w:t>Strategy Committee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Purpose</w:t>
      </w:r>
    </w:p>
    <w:p>
      <w:r>
        <w:rPr>
          <w:b w:val="0"/>
          <w:i w:val="0"/>
          <w:sz w:val="20"/>
        </w:rPr>
        <w:t>The Strategy Committee assists the board in overseeing strategy formulation, execution, value creation and strategic risk.</w:t>
      </w:r>
    </w:p>
    <w:p>
      <w:pPr>
        <w:pStyle w:val="Heading1"/>
      </w:pPr>
      <w:r>
        <w:t>2. Composition &amp; Meetings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59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89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Provision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Membership</w:t>
            </w:r>
          </w:p>
        </w:tc>
        <w:tc>
          <w:tcPr>
            <w:tcW w:type="dxa" w:w="8928"/>
          </w:tcPr>
          <w:p>
            <w:r/>
            <w:r>
              <w:rPr>
                <w:rFonts w:ascii="Arial" w:hAnsi="Arial"/>
                <w:b w:val="0"/>
                <w:sz w:val="16"/>
              </w:rPr>
              <w:t>Minimum three directors; mix of independent and executive</w:t>
            </w:r>
          </w:p>
        </w:tc>
      </w:tr>
      <w:tr>
        <w:tc>
          <w:tcPr>
            <w:tcW w:type="dxa" w:w="259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Chair</w:t>
            </w:r>
          </w:p>
        </w:tc>
        <w:tc>
          <w:tcPr>
            <w:tcW w:type="dxa" w:w="89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 non-executive director appointed by the board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Attendees</w:t>
            </w:r>
          </w:p>
        </w:tc>
        <w:tc>
          <w:tcPr>
            <w:tcW w:type="dxa" w:w="8928"/>
          </w:tcPr>
          <w:p>
            <w:r/>
            <w:r>
              <w:rPr>
                <w:rFonts w:ascii="Arial" w:hAnsi="Arial"/>
                <w:b w:val="0"/>
                <w:sz w:val="16"/>
              </w:rPr>
              <w:t>CEO, CFO, Strategy Director; others by invitation</w:t>
            </w:r>
          </w:p>
        </w:tc>
      </w:tr>
      <w:tr>
        <w:tc>
          <w:tcPr>
            <w:tcW w:type="dxa" w:w="259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Frequency</w:t>
            </w:r>
          </w:p>
        </w:tc>
        <w:tc>
          <w:tcPr>
            <w:tcW w:type="dxa" w:w="89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At least quarterly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Quorum</w:t>
            </w:r>
          </w:p>
        </w:tc>
        <w:tc>
          <w:tcPr>
            <w:tcW w:type="dxa" w:w="8928"/>
          </w:tcPr>
          <w:p>
            <w:r/>
            <w:r>
              <w:rPr>
                <w:rFonts w:ascii="Arial" w:hAnsi="Arial"/>
                <w:b w:val="0"/>
                <w:sz w:val="16"/>
              </w:rPr>
              <w:t>Two members</w:t>
            </w:r>
          </w:p>
        </w:tc>
      </w:tr>
    </w:tbl>
    <w:p>
      <w:pPr>
        <w:pStyle w:val="Heading1"/>
      </w:pPr>
      <w:r>
        <w:t>3. Responsibilities</w:t>
      </w:r>
    </w:p>
    <w:p>
      <w:pPr>
        <w:pStyle w:val="ListBullet"/>
      </w:pPr>
      <w:r>
        <w:rPr>
          <w:sz w:val="19"/>
        </w:rPr>
        <w:t>Review and recommend the strategy and strategic plan to the board</w:t>
      </w:r>
    </w:p>
    <w:p>
      <w:pPr>
        <w:pStyle w:val="ListBullet"/>
      </w:pPr>
      <w:r>
        <w:rPr>
          <w:sz w:val="19"/>
        </w:rPr>
        <w:t>Oversee strategy execution and initiative delivery</w:t>
      </w:r>
    </w:p>
    <w:p>
      <w:pPr>
        <w:pStyle w:val="ListBullet"/>
      </w:pPr>
      <w:r>
        <w:rPr>
          <w:sz w:val="19"/>
        </w:rPr>
        <w:t>Review value creation, capital allocation and returns</w:t>
      </w:r>
    </w:p>
    <w:p>
      <w:pPr>
        <w:pStyle w:val="ListBullet"/>
      </w:pPr>
      <w:r>
        <w:rPr>
          <w:sz w:val="19"/>
        </w:rPr>
        <w:t>Oversee growth, transformation and major strategic initiatives</w:t>
      </w:r>
    </w:p>
    <w:p>
      <w:pPr>
        <w:pStyle w:val="ListBullet"/>
      </w:pPr>
      <w:r>
        <w:rPr>
          <w:sz w:val="19"/>
        </w:rPr>
        <w:t>Review strategic risks and mitigation</w:t>
      </w:r>
    </w:p>
    <w:p>
      <w:pPr>
        <w:pStyle w:val="ListBullet"/>
      </w:pPr>
      <w:r>
        <w:rPr>
          <w:sz w:val="19"/>
        </w:rPr>
        <w:t>Review competitive position and market dynamics</w:t>
      </w:r>
    </w:p>
    <w:p>
      <w:pPr>
        <w:pStyle w:val="ListBullet"/>
      </w:pPr>
      <w:r>
        <w:rPr>
          <w:sz w:val="19"/>
        </w:rPr>
        <w:t>Report to the board after each meeting</w:t>
      </w:r>
    </w:p>
    <w:p>
      <w:pPr>
        <w:pStyle w:val="Heading1"/>
      </w:pPr>
      <w:r>
        <w:t>4. Authority</w:t>
      </w:r>
    </w:p>
    <w:p>
      <w:r>
        <w:rPr>
          <w:b w:val="0"/>
          <w:i w:val="0"/>
          <w:sz w:val="20"/>
        </w:rPr>
        <w:t>The Committee may obtain any information it requires, access management and advisers, and commission independent analysis.</w:t>
      </w:r>
    </w:p>
    <w:p>
      <w:pPr>
        <w:pStyle w:val="Heading1"/>
      </w:pPr>
      <w:r>
        <w:t>5. Annual Agenda (illustrative)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Quarter</w:t>
            </w:r>
          </w:p>
        </w:tc>
        <w:tc>
          <w:tcPr>
            <w:tcW w:type="dxa" w:w="979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Focus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Q1</w:t>
            </w:r>
          </w:p>
        </w:tc>
        <w:tc>
          <w:tcPr>
            <w:tcW w:type="dxa" w:w="9792"/>
          </w:tcPr>
          <w:p>
            <w:r/>
            <w:r>
              <w:rPr>
                <w:rFonts w:ascii="Arial" w:hAnsi="Arial"/>
                <w:b w:val="0"/>
                <w:sz w:val="16"/>
              </w:rPr>
              <w:t>Strategy review; annual plan; capital allocation</w:t>
            </w:r>
          </w:p>
        </w:tc>
      </w:tr>
      <w:tr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Q2</w:t>
            </w:r>
          </w:p>
        </w:tc>
        <w:tc>
          <w:tcPr>
            <w:tcW w:type="dxa" w:w="979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Execution &amp; performance; competitive position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Q3</w:t>
            </w:r>
          </w:p>
        </w:tc>
        <w:tc>
          <w:tcPr>
            <w:tcW w:type="dxa" w:w="9792"/>
          </w:tcPr>
          <w:p>
            <w:r/>
            <w:r>
              <w:rPr>
                <w:rFonts w:ascii="Arial" w:hAnsi="Arial"/>
                <w:b w:val="0"/>
                <w:sz w:val="16"/>
              </w:rPr>
              <w:t>Growth &amp; transformation; strategic risk</w:t>
            </w:r>
          </w:p>
        </w:tc>
      </w:tr>
      <w:tr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Q4</w:t>
            </w:r>
          </w:p>
        </w:tc>
        <w:tc>
          <w:tcPr>
            <w:tcW w:type="dxa" w:w="979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Value creation; scenarios; committee self-assessment</w:t>
            </w:r>
          </w:p>
        </w:tc>
      </w:tr>
    </w:tbl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resource. Calibrate frameworks, scoring, KPIs and governance to your organisation, sector and strategy. Targets and thresholds are illustrative and should be set by leadership.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