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Quarterly CFO Board Report Template</w:t>
      </w:r>
    </w:p>
    <w:p>
      <w:pPr>
        <w:jc w:val="center"/>
      </w:pPr>
      <w:r>
        <w:rPr>
          <w:color w:val="C97B2C"/>
          <w:sz w:val="26"/>
        </w:rPr>
        <w:t>Quarterly finance report to the board</w:t>
      </w:r>
    </w:p>
    <w:p/>
    <w:p/>
    <w:p>
      <w:pPr>
        <w:jc w:val="center"/>
      </w:pPr>
      <w:r>
        <w:rPr>
          <w:color w:val="555555"/>
          <w:sz w:val="20"/>
        </w:rPr>
        <w:t>CFO / Board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Quarterly CFO Board Report — [Quarter / Year]</w:t>
      </w:r>
    </w:p>
    <w:p>
      <w:r>
        <w:rPr>
          <w:b w:val="0"/>
          <w:i/>
          <w:sz w:val="19"/>
        </w:rPr>
        <w:t>Prepared by: [CFO]  ·  Date: [date]  ·  Classification: Board Confidential</w:t>
      </w:r>
    </w:p>
    <w:p>
      <w:pPr>
        <w:pStyle w:val="Heading2"/>
      </w:pPr>
      <w:r>
        <w:t>1. Executive Summary</w:t>
      </w:r>
    </w:p>
    <w:p>
      <w:r>
        <w:rPr>
          <w:b w:val="0"/>
          <w:i w:val="0"/>
          <w:sz w:val="20"/>
        </w:rPr>
        <w:t>[Overall RAG and key messages for the quarter; performance, cash, capital, risk and decisions.]</w:t>
      </w:r>
    </w:p>
    <w:p>
      <w:pPr>
        <w:pStyle w:val="Heading2"/>
      </w:pPr>
      <w:r>
        <w:t>2. Financial Performance</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2736"/>
            <w:shd w:val="clear" w:fill="1B4D89"/>
          </w:tcPr>
          <w:p>
            <w:r/>
            <w:r>
              <w:rPr>
                <w:rFonts w:ascii="Arial" w:hAnsi="Arial"/>
                <w:b/>
                <w:color w:val="FFFFFF"/>
                <w:sz w:val="16"/>
              </w:rPr>
              <w:t>Measure</w:t>
            </w:r>
          </w:p>
        </w:tc>
        <w:tc>
          <w:tcPr>
            <w:tcW w:type="dxa" w:w="1584"/>
            <w:shd w:val="clear" w:fill="1B4D89"/>
          </w:tcPr>
          <w:p>
            <w:r/>
            <w:r>
              <w:rPr>
                <w:rFonts w:ascii="Arial" w:hAnsi="Arial"/>
                <w:b/>
                <w:color w:val="FFFFFF"/>
                <w:sz w:val="16"/>
              </w:rPr>
              <w:t>Q Actual</w:t>
            </w:r>
          </w:p>
        </w:tc>
        <w:tc>
          <w:tcPr>
            <w:tcW w:type="dxa" w:w="1584"/>
            <w:shd w:val="clear" w:fill="1B4D89"/>
          </w:tcPr>
          <w:p>
            <w:r/>
            <w:r>
              <w:rPr>
                <w:rFonts w:ascii="Arial" w:hAnsi="Arial"/>
                <w:b/>
                <w:color w:val="FFFFFF"/>
                <w:sz w:val="16"/>
              </w:rPr>
              <w:t>Q Budget</w:t>
            </w:r>
          </w:p>
        </w:tc>
        <w:tc>
          <w:tcPr>
            <w:tcW w:type="dxa" w:w="1584"/>
            <w:shd w:val="clear" w:fill="1B4D89"/>
          </w:tcPr>
          <w:p>
            <w:r/>
            <w:r>
              <w:rPr>
                <w:rFonts w:ascii="Arial" w:hAnsi="Arial"/>
                <w:b/>
                <w:color w:val="FFFFFF"/>
                <w:sz w:val="16"/>
              </w:rPr>
              <w:t>Variance</w:t>
            </w:r>
          </w:p>
        </w:tc>
        <w:tc>
          <w:tcPr>
            <w:tcW w:type="dxa" w:w="1584"/>
            <w:shd w:val="clear" w:fill="1B4D89"/>
          </w:tcPr>
          <w:p>
            <w:r/>
            <w:r>
              <w:rPr>
                <w:rFonts w:ascii="Arial" w:hAnsi="Arial"/>
                <w:b/>
                <w:color w:val="FFFFFF"/>
                <w:sz w:val="16"/>
              </w:rPr>
              <w:t>Prior Year</w:t>
            </w:r>
          </w:p>
        </w:tc>
        <w:tc>
          <w:tcPr>
            <w:tcW w:type="dxa" w:w="1296"/>
            <w:shd w:val="clear" w:fill="1B4D89"/>
          </w:tcPr>
          <w:p>
            <w:r/>
            <w:r>
              <w:rPr>
                <w:rFonts w:ascii="Arial" w:hAnsi="Arial"/>
                <w:b/>
                <w:color w:val="FFFFFF"/>
                <w:sz w:val="16"/>
              </w:rPr>
              <w:t>RAG</w:t>
            </w:r>
          </w:p>
        </w:tc>
      </w:tr>
      <w:tr>
        <w:tc>
          <w:tcPr>
            <w:tcW w:type="dxa" w:w="2736"/>
          </w:tcPr>
          <w:p>
            <w:r/>
            <w:r>
              <w:rPr>
                <w:rFonts w:ascii="Arial" w:hAnsi="Arial"/>
                <w:b w:val="0"/>
                <w:sz w:val="16"/>
              </w:rPr>
              <w:t>Revenue (₦m)</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2736"/>
            <w:shd w:val="clear" w:fill="F4F7FB"/>
          </w:tcPr>
          <w:p>
            <w:r/>
            <w:r>
              <w:rPr>
                <w:rFonts w:ascii="Arial" w:hAnsi="Arial"/>
                <w:b w:val="0"/>
                <w:sz w:val="16"/>
              </w:rPr>
              <w:t>Gross margin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2736"/>
          </w:tcPr>
          <w:p>
            <w:r/>
            <w:r>
              <w:rPr>
                <w:rFonts w:ascii="Arial" w:hAnsi="Arial"/>
                <w:b w:val="0"/>
                <w:sz w:val="16"/>
              </w:rPr>
              <w:t>EBITDA (₦m)</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584"/>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2736"/>
            <w:shd w:val="clear" w:fill="F4F7FB"/>
          </w:tcPr>
          <w:p>
            <w:r/>
            <w:r>
              <w:rPr>
                <w:rFonts w:ascii="Arial" w:hAnsi="Arial"/>
                <w:b w:val="0"/>
                <w:sz w:val="16"/>
              </w:rPr>
              <w:t>Net profit (₦m)</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584"/>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bl>
    <w:p>
      <w:pPr>
        <w:pStyle w:val="Heading2"/>
      </w:pPr>
      <w:r>
        <w:t>3. Cash, Balance Sheet &amp; Capital</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Item</w:t>
            </w:r>
          </w:p>
        </w:tc>
        <w:tc>
          <w:tcPr>
            <w:tcW w:type="dxa" w:w="1728"/>
            <w:shd w:val="clear" w:fill="1B4D89"/>
          </w:tcPr>
          <w:p>
            <w:r/>
            <w:r>
              <w:rPr>
                <w:rFonts w:ascii="Arial" w:hAnsi="Arial"/>
                <w:b/>
                <w:color w:val="FFFFFF"/>
                <w:sz w:val="16"/>
              </w:rPr>
              <w:t>Value</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Cash &amp; liquidity</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2E7D5B"/>
          </w:tcPr>
          <w:p>
            <w:pPr>
              <w:jc w:val="center"/>
            </w:pPr>
            <w:r/>
            <w:r>
              <w:rPr>
                <w:rFonts w:ascii="Arial" w:hAnsi="Arial"/>
                <w:b/>
                <w:color w:val="FFFFFF"/>
                <w:sz w:val="16"/>
              </w:rPr>
              <w:t>Green</w:t>
            </w:r>
          </w:p>
        </w:tc>
      </w:tr>
      <w:tr>
        <w:tc>
          <w:tcPr>
            <w:tcW w:type="dxa" w:w="3744"/>
            <w:shd w:val="clear" w:fill="F4F7FB"/>
          </w:tcPr>
          <w:p>
            <w:r/>
            <w:r>
              <w:rPr>
                <w:rFonts w:ascii="Arial" w:hAnsi="Arial"/>
                <w:b w:val="0"/>
                <w:sz w:val="16"/>
              </w:rPr>
              <w:t>Working capital / CCC</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Debt &amp; covenant headroom</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1296"/>
            <w:shd w:val="clear" w:fill="2E7D5B"/>
          </w:tcPr>
          <w:p>
            <w:pPr>
              <w:jc w:val="center"/>
            </w:pPr>
            <w:r/>
            <w:r>
              <w:rPr>
                <w:rFonts w:ascii="Arial" w:hAnsi="Arial"/>
                <w:b/>
                <w:color w:val="FFFFFF"/>
                <w:sz w:val="16"/>
              </w:rPr>
              <w:t>Green</w:t>
            </w:r>
          </w:p>
        </w:tc>
      </w:tr>
      <w:tr>
        <w:tc>
          <w:tcPr>
            <w:tcW w:type="dxa" w:w="3744"/>
            <w:shd w:val="clear" w:fill="F4F7FB"/>
          </w:tcPr>
          <w:p>
            <w:r/>
            <w:r>
              <w:rPr>
                <w:rFonts w:ascii="Arial" w:hAnsi="Arial"/>
                <w:b w:val="0"/>
                <w:sz w:val="16"/>
              </w:rPr>
              <w:t>ROIC %</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 ]</w:t>
            </w:r>
          </w:p>
        </w:tc>
        <w:tc>
          <w:tcPr>
            <w:tcW w:type="dxa" w:w="1296"/>
            <w:shd w:val="clear" w:fill="F4F7FB"/>
            <w:shd w:val="clear" w:fill="B23A48"/>
          </w:tcPr>
          <w:p>
            <w:pPr>
              <w:jc w:val="center"/>
            </w:pPr>
            <w:r/>
            <w:r>
              <w:rPr>
                <w:rFonts w:ascii="Arial" w:hAnsi="Arial"/>
                <w:b/>
                <w:color w:val="FFFFFF"/>
                <w:sz w:val="16"/>
              </w:rPr>
              <w:t>Red</w:t>
            </w:r>
          </w:p>
        </w:tc>
      </w:tr>
    </w:tbl>
    <w:p>
      <w:pPr>
        <w:pStyle w:val="Heading2"/>
      </w:pPr>
      <w:r>
        <w:t>4. Capital Allocation &amp; Investments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032"/>
            <w:shd w:val="clear" w:fill="1B4D89"/>
          </w:tcPr>
          <w:p>
            <w:r/>
            <w:r>
              <w:rPr>
                <w:rFonts w:ascii="Arial" w:hAnsi="Arial"/>
                <w:b/>
                <w:color w:val="FFFFFF"/>
                <w:sz w:val="16"/>
              </w:rPr>
              <w:t>Investment</w:t>
            </w:r>
          </w:p>
        </w:tc>
        <w:tc>
          <w:tcPr>
            <w:tcW w:type="dxa" w:w="2016"/>
            <w:shd w:val="clear" w:fill="1B4D89"/>
          </w:tcPr>
          <w:p>
            <w:r/>
            <w:r>
              <w:rPr>
                <w:rFonts w:ascii="Arial" w:hAnsi="Arial"/>
                <w:b/>
                <w:color w:val="FFFFFF"/>
                <w:sz w:val="16"/>
              </w:rPr>
              <w:t>Capital (₦m)</w:t>
            </w:r>
          </w:p>
        </w:tc>
        <w:tc>
          <w:tcPr>
            <w:tcW w:type="dxa" w:w="2304"/>
            <w:shd w:val="clear" w:fill="1B4D89"/>
          </w:tcPr>
          <w:p>
            <w:r/>
            <w:r>
              <w:rPr>
                <w:rFonts w:ascii="Arial" w:hAnsi="Arial"/>
                <w:b/>
                <w:color w:val="FFFFFF"/>
                <w:sz w:val="16"/>
              </w:rPr>
              <w:t>Status</w:t>
            </w:r>
          </w:p>
        </w:tc>
        <w:tc>
          <w:tcPr>
            <w:tcW w:type="dxa" w:w="1728"/>
            <w:shd w:val="clear" w:fill="1B4D89"/>
          </w:tcPr>
          <w:p>
            <w:r/>
            <w:r>
              <w:rPr>
                <w:rFonts w:ascii="Arial" w:hAnsi="Arial"/>
                <w:b/>
                <w:color w:val="FFFFFF"/>
                <w:sz w:val="16"/>
              </w:rPr>
              <w:t>Benefit RAG</w:t>
            </w:r>
          </w:p>
        </w:tc>
      </w:tr>
      <w:tr>
        <w:tc>
          <w:tcPr>
            <w:tcW w:type="dxa" w:w="4032"/>
          </w:tcPr>
          <w:p>
            <w:r/>
            <w:r>
              <w:rPr>
                <w:rFonts w:ascii="Arial" w:hAnsi="Arial"/>
                <w:b w:val="0"/>
                <w:sz w:val="16"/>
              </w:rPr>
              <w:t>[project 1]</w:t>
            </w:r>
          </w:p>
        </w:tc>
        <w:tc>
          <w:tcPr>
            <w:tcW w:type="dxa" w:w="2016"/>
          </w:tcPr>
          <w:p>
            <w:r/>
            <w:r>
              <w:rPr>
                <w:rFonts w:ascii="Arial" w:hAnsi="Arial"/>
                <w:b w:val="0"/>
                <w:sz w:val="16"/>
              </w:rPr>
              <w:t>[ ]</w:t>
            </w:r>
          </w:p>
        </w:tc>
        <w:tc>
          <w:tcPr>
            <w:tcW w:type="dxa" w:w="2304"/>
          </w:tcPr>
          <w:p>
            <w:r/>
            <w:r>
              <w:rPr>
                <w:rFonts w:ascii="Arial" w:hAnsi="Arial"/>
                <w:b w:val="0"/>
                <w:sz w:val="16"/>
              </w:rPr>
              <w:t>[status]</w:t>
            </w:r>
          </w:p>
        </w:tc>
        <w:tc>
          <w:tcPr>
            <w:tcW w:type="dxa" w:w="1728"/>
            <w:shd w:val="clear" w:fill="2E7D5B"/>
          </w:tcPr>
          <w:p>
            <w:pPr>
              <w:jc w:val="center"/>
            </w:pPr>
            <w:r/>
            <w:r>
              <w:rPr>
                <w:rFonts w:ascii="Arial" w:hAnsi="Arial"/>
                <w:b/>
                <w:color w:val="FFFFFF"/>
                <w:sz w:val="16"/>
              </w:rPr>
              <w:t>Green</w:t>
            </w:r>
          </w:p>
        </w:tc>
      </w:tr>
      <w:tr>
        <w:tc>
          <w:tcPr>
            <w:tcW w:type="dxa" w:w="4032"/>
            <w:shd w:val="clear" w:fill="F4F7FB"/>
          </w:tcPr>
          <w:p>
            <w:r/>
            <w:r>
              <w:rPr>
                <w:rFonts w:ascii="Arial" w:hAnsi="Arial"/>
                <w:b w:val="0"/>
                <w:sz w:val="16"/>
              </w:rPr>
              <w:t>[project 2]</w:t>
            </w:r>
          </w:p>
        </w:tc>
        <w:tc>
          <w:tcPr>
            <w:tcW w:type="dxa" w:w="2016"/>
            <w:shd w:val="clear" w:fill="F4F7FB"/>
          </w:tcPr>
          <w:p>
            <w:r/>
            <w:r>
              <w:rPr>
                <w:rFonts w:ascii="Arial" w:hAnsi="Arial"/>
                <w:b w:val="0"/>
                <w:sz w:val="16"/>
              </w:rPr>
              <w:t>[ ]</w:t>
            </w:r>
          </w:p>
        </w:tc>
        <w:tc>
          <w:tcPr>
            <w:tcW w:type="dxa" w:w="2304"/>
            <w:shd w:val="clear" w:fill="F4F7FB"/>
          </w:tcPr>
          <w:p>
            <w:r/>
            <w:r>
              <w:rPr>
                <w:rFonts w:ascii="Arial" w:hAnsi="Arial"/>
                <w:b w:val="0"/>
                <w:sz w:val="16"/>
              </w:rPr>
              <w:t>[status]</w:t>
            </w:r>
          </w:p>
        </w:tc>
        <w:tc>
          <w:tcPr>
            <w:tcW w:type="dxa" w:w="1728"/>
            <w:shd w:val="clear" w:fill="F4F7FB"/>
            <w:shd w:val="clear" w:fill="E08A2B"/>
          </w:tcPr>
          <w:p>
            <w:pPr>
              <w:jc w:val="center"/>
            </w:pPr>
            <w:r/>
            <w:r>
              <w:rPr>
                <w:rFonts w:ascii="Arial" w:hAnsi="Arial"/>
                <w:b/>
                <w:color w:val="FFFFFF"/>
                <w:sz w:val="16"/>
              </w:rPr>
              <w:t>Amber</w:t>
            </w:r>
          </w:p>
        </w:tc>
      </w:tr>
    </w:tbl>
    <w:p>
      <w:pPr>
        <w:pStyle w:val="Heading2"/>
      </w:pPr>
      <w:r>
        <w:t>5. Financial Risks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Risk</w:t>
            </w:r>
          </w:p>
        </w:tc>
        <w:tc>
          <w:tcPr>
            <w:tcW w:type="dxa" w:w="1440"/>
            <w:shd w:val="clear" w:fill="1B4D89"/>
          </w:tcPr>
          <w:p>
            <w:r/>
            <w:r>
              <w:rPr>
                <w:rFonts w:ascii="Arial" w:hAnsi="Arial"/>
                <w:b/>
                <w:color w:val="FFFFFF"/>
                <w:sz w:val="16"/>
              </w:rPr>
              <w:t>Rating</w:t>
            </w:r>
          </w:p>
        </w:tc>
        <w:tc>
          <w:tcPr>
            <w:tcW w:type="dxa" w:w="1728"/>
            <w:shd w:val="clear" w:fill="1B4D89"/>
          </w:tcPr>
          <w:p>
            <w:r/>
            <w:r>
              <w:rPr>
                <w:rFonts w:ascii="Arial" w:hAnsi="Arial"/>
                <w:b/>
                <w:color w:val="FFFFFF"/>
                <w:sz w:val="16"/>
              </w:rPr>
              <w:t>Owner</w:t>
            </w:r>
          </w:p>
        </w:tc>
        <w:tc>
          <w:tcPr>
            <w:tcW w:type="dxa" w:w="4608"/>
            <w:shd w:val="clear" w:fill="1B4D89"/>
          </w:tcPr>
          <w:p>
            <w:r/>
            <w:r>
              <w:rPr>
                <w:rFonts w:ascii="Arial" w:hAnsi="Arial"/>
                <w:b/>
                <w:color w:val="FFFFFF"/>
                <w:sz w:val="16"/>
              </w:rPr>
              <w:t>Mitigation</w:t>
            </w:r>
          </w:p>
        </w:tc>
      </w:tr>
      <w:tr>
        <w:tc>
          <w:tcPr>
            <w:tcW w:type="dxa" w:w="3744"/>
          </w:tcPr>
          <w:p>
            <w:r/>
            <w:r>
              <w:rPr>
                <w:rFonts w:ascii="Arial" w:hAnsi="Arial"/>
                <w:b w:val="0"/>
                <w:sz w:val="16"/>
              </w:rPr>
              <w:t>[risk 1]</w:t>
            </w:r>
          </w:p>
        </w:tc>
        <w:tc>
          <w:tcPr>
            <w:tcW w:type="dxa" w:w="1440"/>
            <w:shd w:val="clear" w:fill="B23A48"/>
          </w:tcPr>
          <w:p>
            <w:pPr>
              <w:jc w:val="center"/>
            </w:pPr>
            <w:r/>
            <w:r>
              <w:rPr>
                <w:rFonts w:ascii="Arial" w:hAnsi="Arial"/>
                <w:b/>
                <w:color w:val="FFFFFF"/>
                <w:sz w:val="16"/>
              </w:rPr>
              <w:t>High</w:t>
            </w:r>
          </w:p>
        </w:tc>
        <w:tc>
          <w:tcPr>
            <w:tcW w:type="dxa" w:w="1728"/>
          </w:tcPr>
          <w:p>
            <w:r/>
            <w:r>
              <w:rPr>
                <w:rFonts w:ascii="Arial" w:hAnsi="Arial"/>
                <w:b w:val="0"/>
                <w:sz w:val="16"/>
              </w:rPr>
              <w:t>[owner]</w:t>
            </w:r>
          </w:p>
        </w:tc>
        <w:tc>
          <w:tcPr>
            <w:tcW w:type="dxa" w:w="4608"/>
          </w:tcPr>
          <w:p>
            <w:r/>
            <w:r>
              <w:rPr>
                <w:rFonts w:ascii="Arial" w:hAnsi="Arial"/>
                <w:b w:val="0"/>
                <w:sz w:val="16"/>
              </w:rPr>
              <w:t>[mitigation]</w:t>
            </w:r>
          </w:p>
        </w:tc>
      </w:tr>
      <w:tr>
        <w:tc>
          <w:tcPr>
            <w:tcW w:type="dxa" w:w="3744"/>
            <w:shd w:val="clear" w:fill="F4F7FB"/>
          </w:tcPr>
          <w:p>
            <w:r/>
            <w:r>
              <w:rPr>
                <w:rFonts w:ascii="Arial" w:hAnsi="Arial"/>
                <w:b w:val="0"/>
                <w:sz w:val="16"/>
              </w:rPr>
              <w:t>[risk 2]</w:t>
            </w:r>
          </w:p>
        </w:tc>
        <w:tc>
          <w:tcPr>
            <w:tcW w:type="dxa" w:w="1440"/>
            <w:shd w:val="clear" w:fill="F4F7FB"/>
            <w:shd w:val="clear" w:fill="D4B106"/>
          </w:tcPr>
          <w:p>
            <w:pPr>
              <w:jc w:val="center"/>
            </w:pPr>
            <w:r/>
            <w:r>
              <w:rPr>
                <w:rFonts w:ascii="Arial" w:hAnsi="Arial"/>
                <w:b/>
                <w:color w:val="FFFFFF"/>
                <w:sz w:val="16"/>
              </w:rPr>
              <w:t>Medium</w:t>
            </w:r>
          </w:p>
        </w:tc>
        <w:tc>
          <w:tcPr>
            <w:tcW w:type="dxa" w:w="1728"/>
            <w:shd w:val="clear" w:fill="F4F7FB"/>
          </w:tcPr>
          <w:p>
            <w:r/>
            <w:r>
              <w:rPr>
                <w:rFonts w:ascii="Arial" w:hAnsi="Arial"/>
                <w:b w:val="0"/>
                <w:sz w:val="16"/>
              </w:rPr>
              <w:t>[owner]</w:t>
            </w:r>
          </w:p>
        </w:tc>
        <w:tc>
          <w:tcPr>
            <w:tcW w:type="dxa" w:w="4608"/>
            <w:shd w:val="clear" w:fill="F4F7FB"/>
          </w:tcPr>
          <w:p>
            <w:r/>
            <w:r>
              <w:rPr>
                <w:rFonts w:ascii="Arial" w:hAnsi="Arial"/>
                <w:b w:val="0"/>
                <w:sz w:val="16"/>
              </w:rPr>
              <w:t>[mitigation]</w:t>
            </w:r>
          </w:p>
        </w:tc>
      </w:tr>
    </w:tbl>
    <w:p>
      <w:pPr>
        <w:pStyle w:val="Heading2"/>
      </w:pPr>
      <w:r>
        <w:t>6. Outlook &amp; Decisions Sought</w:t>
      </w:r>
    </w:p>
    <w:p>
      <w:pPr>
        <w:pStyle w:val="ListBullet"/>
      </w:pPr>
      <w:r>
        <w:rPr>
          <w:sz w:val="19"/>
        </w:rPr>
        <w:t>[outlook / reforecast]</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