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Quarterly Business Review Pack</w:t>
      </w:r>
    </w:p>
    <w:p>
      <w:r>
        <w:rPr>
          <w:rFonts w:ascii="Arial" w:hAnsi="Arial"/>
          <w:b/>
          <w:sz w:val="22"/>
        </w:rPr>
        <w:t>Board Pack · Management Reporting · Enterprise tier</w:t>
      </w:r>
    </w:p>
    <w:p>
      <w:r>
        <w:rPr>
          <w:rFonts w:ascii="Arial" w:hAnsi="Arial"/>
          <w:sz w:val="22"/>
        </w:rPr>
        <w:t>Quarterly business review template aligned to strategy KPIs.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Strategic KPIs, financial performance, operational performance and risk and outlook sections.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CEO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KPI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Target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Actual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Trend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Revenue growth (YoY)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9.1%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Commercial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EBITDA margin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18.7%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→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Operating cash conversion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85%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78%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Net debt / EBITDA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&lt;2.5x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2.1x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↑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QBR</w:t>
      </w:r>
    </w:p>
    <w:p>
      <w:pPr>
        <w:pStyle w:val="ListBullet"/>
      </w:pPr>
      <w:r>
        <w:rPr>
          <w:rFonts w:ascii="Arial" w:hAnsi="Arial"/>
          <w:sz w:val="22"/>
        </w:rPr>
        <w:t>Strategy KPIs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