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BUSINESS STRATEGY CENTRE™</w:t>
      </w:r>
    </w:p>
    <w:p>
      <w:pPr>
        <w:jc w:val="center"/>
      </w:pPr>
      <w:r>
        <w:rPr>
          <w:b/>
          <w:color w:val="10243F"/>
          <w:sz w:val="50"/>
        </w:rPr>
        <w:t>CEO Strategy Briefing Pack</w:t>
      </w:r>
    </w:p>
    <w:p>
      <w:pPr>
        <w:jc w:val="center"/>
      </w:pPr>
      <w:r>
        <w:rPr>
          <w:color w:val="C97B2C"/>
          <w:sz w:val="26"/>
        </w:rPr>
        <w:t>A concise strategy brief for the CEO</w:t>
      </w:r>
    </w:p>
    <w:p/>
    <w:p/>
    <w:p>
      <w:pPr>
        <w:jc w:val="center"/>
      </w:pPr>
      <w:r>
        <w:rPr>
          <w:color w:val="555555"/>
          <w:sz w:val="20"/>
        </w:rPr>
        <w:t>Chief Executive Officer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Strategy on a Page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30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Element</w:t>
            </w:r>
          </w:p>
        </w:tc>
        <w:tc>
          <w:tcPr>
            <w:tcW w:type="dxa" w:w="921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Summary</w:t>
            </w:r>
          </w:p>
        </w:tc>
      </w:tr>
      <w:tr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Ambition</w:t>
            </w:r>
          </w:p>
        </w:tc>
        <w:tc>
          <w:tcPr>
            <w:tcW w:type="dxa" w:w="9216"/>
          </w:tcPr>
          <w:p>
            <w:r/>
            <w:r>
              <w:rPr>
                <w:rFonts w:ascii="Arial" w:hAnsi="Arial"/>
                <w:b w:val="0"/>
                <w:sz w:val="16"/>
              </w:rPr>
              <w:t>[Where we are going and by when]</w:t>
            </w:r>
          </w:p>
        </w:tc>
      </w:tr>
      <w:tr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Where to play</w:t>
            </w:r>
          </w:p>
        </w:tc>
        <w:tc>
          <w:tcPr>
            <w:tcW w:type="dxa" w:w="92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[Markets, segments, geographies]</w:t>
            </w:r>
          </w:p>
        </w:tc>
      </w:tr>
      <w:tr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How to win</w:t>
            </w:r>
          </w:p>
        </w:tc>
        <w:tc>
          <w:tcPr>
            <w:tcW w:type="dxa" w:w="9216"/>
          </w:tcPr>
          <w:p>
            <w:r/>
            <w:r>
              <w:rPr>
                <w:rFonts w:ascii="Arial" w:hAnsi="Arial"/>
                <w:b w:val="0"/>
                <w:sz w:val="16"/>
              </w:rPr>
              <w:t>[Our basis of advantage]</w:t>
            </w:r>
          </w:p>
        </w:tc>
      </w:tr>
      <w:tr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Priorities</w:t>
            </w:r>
          </w:p>
        </w:tc>
        <w:tc>
          <w:tcPr>
            <w:tcW w:type="dxa" w:w="92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[Top 3-5 strategic priorities]</w:t>
            </w:r>
          </w:p>
        </w:tc>
      </w:tr>
      <w:tr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Capabilities</w:t>
            </w:r>
          </w:p>
        </w:tc>
        <w:tc>
          <w:tcPr>
            <w:tcW w:type="dxa" w:w="9216"/>
          </w:tcPr>
          <w:p>
            <w:r/>
            <w:r>
              <w:rPr>
                <w:rFonts w:ascii="Arial" w:hAnsi="Arial"/>
                <w:b w:val="0"/>
                <w:sz w:val="16"/>
              </w:rPr>
              <w:t>[What we must be great at]</w:t>
            </w:r>
          </w:p>
        </w:tc>
      </w:tr>
    </w:tbl>
    <w:p>
      <w:pPr>
        <w:pStyle w:val="Heading1"/>
      </w:pPr>
      <w:r>
        <w:t>2. Strategy Health (example)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30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Dimension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77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Note</w:t>
            </w:r>
          </w:p>
        </w:tc>
      </w:tr>
      <w:tr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Direction</w:t>
            </w:r>
          </w:p>
        </w:tc>
        <w:tc>
          <w:tcPr>
            <w:tcW w:type="dxa" w:w="1440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776"/>
          </w:tcPr>
          <w:p>
            <w:r/>
            <w:r>
              <w:rPr>
                <w:rFonts w:ascii="Arial" w:hAnsi="Arial"/>
                <w:b w:val="0"/>
                <w:sz w:val="16"/>
              </w:rPr>
              <w:t>Strategy clear and shared</w:t>
            </w:r>
          </w:p>
        </w:tc>
      </w:tr>
      <w:tr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Execution</w:t>
            </w:r>
          </w:p>
        </w:tc>
        <w:tc>
          <w:tcPr>
            <w:tcW w:type="dxa" w:w="1440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777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Delivery behind plan</w:t>
            </w:r>
          </w:p>
        </w:tc>
      </w:tr>
      <w:tr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Growth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776"/>
          </w:tcPr>
          <w:p>
            <w:r/>
            <w:r>
              <w:rPr>
                <w:rFonts w:ascii="Arial" w:hAnsi="Arial"/>
                <w:b w:val="0"/>
                <w:sz w:val="16"/>
              </w:rPr>
              <w:t>Below ambition</w:t>
            </w:r>
          </w:p>
        </w:tc>
      </w:tr>
      <w:tr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Value</w:t>
            </w:r>
          </w:p>
        </w:tc>
        <w:tc>
          <w:tcPr>
            <w:tcW w:type="dxa" w:w="1440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77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ROIC below hurdle</w:t>
            </w:r>
          </w:p>
        </w:tc>
      </w:tr>
      <w:tr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Risk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776"/>
          </w:tcPr>
          <w:p>
            <w:r/>
            <w:r>
              <w:rPr>
                <w:rFonts w:ascii="Arial" w:hAnsi="Arial"/>
                <w:b w:val="0"/>
                <w:sz w:val="16"/>
              </w:rPr>
              <w:t>One critical execution risk</w:t>
            </w:r>
          </w:p>
        </w:tc>
      </w:tr>
    </w:tbl>
    <w:p>
      <w:pPr>
        <w:pStyle w:val="Heading1"/>
      </w:pPr>
      <w:r>
        <w:t>3. What Needs the CEO's Attention</w:t>
      </w:r>
    </w:p>
    <w:p>
      <w:pPr>
        <w:pStyle w:val="ListBullet"/>
      </w:pPr>
      <w:r>
        <w:rPr>
          <w:sz w:val="19"/>
        </w:rPr>
        <w:t>Execution is behind plan — capacity and prioritisation decisions needed</w:t>
      </w:r>
    </w:p>
    <w:p>
      <w:pPr>
        <w:pStyle w:val="ListBullet"/>
      </w:pPr>
      <w:r>
        <w:rPr>
          <w:sz w:val="19"/>
        </w:rPr>
        <w:t>Capital re-allocation toward highest-return initiatives</w:t>
      </w:r>
    </w:p>
    <w:p>
      <w:pPr>
        <w:pStyle w:val="ListBullet"/>
      </w:pPr>
      <w:r>
        <w:rPr>
          <w:sz w:val="19"/>
        </w:rPr>
        <w:t>Growth bets need funding to hit ambition</w:t>
      </w:r>
    </w:p>
    <w:p>
      <w:pPr>
        <w:pStyle w:val="ListBullet"/>
      </w:pPr>
      <w:r>
        <w:rPr>
          <w:sz w:val="19"/>
        </w:rPr>
        <w:t>One critical execution risk requires intervention</w:t>
      </w:r>
    </w:p>
    <w:p>
      <w:pPr>
        <w:pStyle w:val="Heading1"/>
      </w:pPr>
      <w:r>
        <w:t>4. Decisions This Quarter</w:t>
      </w:r>
    </w:p>
    <w:p>
      <w:pPr>
        <w:pStyle w:val="ListBullet"/>
      </w:pPr>
      <w:r>
        <w:rPr>
          <w:sz w:val="19"/>
        </w:rPr>
        <w:t>Approve additional delivery capacity / PMO strengthening</w:t>
      </w:r>
    </w:p>
    <w:p>
      <w:pPr>
        <w:pStyle w:val="ListBullet"/>
      </w:pPr>
      <w:r>
        <w:rPr>
          <w:sz w:val="19"/>
        </w:rPr>
        <w:t>Approve capital re-allocation to top initiatives</w:t>
      </w:r>
    </w:p>
    <w:p>
      <w:pPr>
        <w:pStyle w:val="ListBullet"/>
      </w:pPr>
      <w:r>
        <w:rPr>
          <w:sz w:val="19"/>
        </w:rPr>
        <w:t>Confirm funding for priority growth bets</w:t>
      </w:r>
    </w:p>
    <w:p>
      <w:pPr>
        <w:pStyle w:val="ListBullet"/>
      </w:pPr>
      <w:r>
        <w:rPr>
          <w:sz w:val="19"/>
        </w:rPr>
        <w:t>Agree intervention on the critical execution risk</w:t>
      </w:r>
    </w:p>
    <w:p>
      <w:pPr>
        <w:pStyle w:val="Heading1"/>
      </w:pPr>
      <w:r>
        <w:t>5. The Next 90 Days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59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Focus</w:t>
            </w:r>
          </w:p>
        </w:tc>
        <w:tc>
          <w:tcPr>
            <w:tcW w:type="dxa" w:w="89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Arial" w:hAnsi="Arial"/>
                <w:b w:val="0"/>
                <w:sz w:val="16"/>
              </w:rPr>
              <w:t>Reset execution</w:t>
            </w:r>
          </w:p>
        </w:tc>
        <w:tc>
          <w:tcPr>
            <w:tcW w:type="dxa" w:w="8928"/>
          </w:tcPr>
          <w:p>
            <w:r/>
            <w:r>
              <w:rPr>
                <w:rFonts w:ascii="Arial" w:hAnsi="Arial"/>
                <w:b w:val="0"/>
                <w:sz w:val="16"/>
              </w:rPr>
              <w:t>Re-baseline plans; strengthen delivery</w:t>
            </w:r>
          </w:p>
        </w:tc>
      </w:tr>
      <w:tr>
        <w:tc>
          <w:tcPr>
            <w:tcW w:type="dxa" w:w="259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Re-allocate capital</w:t>
            </w:r>
          </w:p>
        </w:tc>
        <w:tc>
          <w:tcPr>
            <w:tcW w:type="dxa" w:w="89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Shift capital to highest-return bets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Arial" w:hAnsi="Arial"/>
                <w:b w:val="0"/>
                <w:sz w:val="16"/>
              </w:rPr>
              <w:t>Fund growth</w:t>
            </w:r>
          </w:p>
        </w:tc>
        <w:tc>
          <w:tcPr>
            <w:tcW w:type="dxa" w:w="8928"/>
          </w:tcPr>
          <w:p>
            <w:r/>
            <w:r>
              <w:rPr>
                <w:rFonts w:ascii="Arial" w:hAnsi="Arial"/>
                <w:b w:val="0"/>
                <w:sz w:val="16"/>
              </w:rPr>
              <w:t>Release funding for priority growth</w:t>
            </w:r>
          </w:p>
        </w:tc>
      </w:tr>
      <w:tr>
        <w:tc>
          <w:tcPr>
            <w:tcW w:type="dxa" w:w="259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Manage risk</w:t>
            </w:r>
          </w:p>
        </w:tc>
        <w:tc>
          <w:tcPr>
            <w:tcW w:type="dxa" w:w="89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Act on the critical execution risk</w:t>
            </w:r>
          </w:p>
        </w:tc>
      </w:tr>
    </w:tbl>
    <w:p>
      <w:pPr>
        <w:pStyle w:val="Heading2"/>
      </w:pPr>
      <w:r>
        <w:t>Notes &amp; Disclaimer</w:t>
      </w:r>
    </w:p>
    <w:p>
      <w:r>
        <w:rPr>
          <w:b w:val="0"/>
          <w:i/>
          <w:sz w:val="18"/>
        </w:rPr>
        <w:t>This toolkit is a professional management resource. Calibrate frameworks, scoring, KPIs and governance to your organisation, sector and strategy. Targets and thresholds are illustrative and should be set by leadership.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