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BOARD EXCELLENCE CENTRE™</w:t>
      </w:r>
    </w:p>
    <w:p>
      <w:pPr>
        <w:jc w:val="center"/>
      </w:pPr>
      <w:r>
        <w:rPr>
          <w:b/>
          <w:color w:val="10243F"/>
          <w:sz w:val="46"/>
        </w:rPr>
        <w:t>Board Excellence Toolkit™</w:t>
      </w:r>
    </w:p>
    <w:p>
      <w:pPr>
        <w:jc w:val="center"/>
      </w:pPr>
      <w:r>
        <w:rPr>
          <w:color w:val="C97B2C"/>
          <w:sz w:val="26"/>
        </w:rPr>
        <w:t>Build an excellent board end to end</w:t>
      </w:r>
    </w:p>
    <w:p/>
    <w:p/>
    <w:p>
      <w:pPr>
        <w:jc w:val="center"/>
      </w:pPr>
      <w:r>
        <w:rPr>
          <w:color w:val="555555"/>
          <w:sz w:val="20"/>
        </w:rPr>
        <w:t>Chairs / Directors / Company Secretaries  ·  Flagship Edition 2026</w:t>
      </w:r>
    </w:p>
    <w:p>
      <w:pPr>
        <w:jc w:val="center"/>
      </w:pPr>
      <w:r>
        <w:rPr>
          <w:i/>
          <w:color w:val="555555"/>
          <w:sz w:val="18"/>
        </w:rPr>
        <w:t>Outliers Professionals Ltd — Board Excellence Centre Resource Library</w:t>
      </w:r>
    </w:p>
    <w:p>
      <w:r>
        <w:br w:type="page"/>
      </w:r>
    </w:p>
    <w:p>
      <w:pPr>
        <w:pStyle w:val="Heading1"/>
      </w:pPr>
      <w:r>
        <w:t>1. Executive Overview</w:t>
      </w:r>
    </w:p>
    <w:p>
      <w:r>
        <w:rPr>
          <w:b w:val="0"/>
          <w:i w:val="0"/>
          <w:sz w:val="20"/>
        </w:rPr>
        <w:t>This toolkit helps the board build excellence across leadership, effectiveness, performance, committees, oversight, succession, development and culture — the whole board as a high-performing body.</w:t>
      </w:r>
    </w:p>
    <w:p>
      <w:r>
        <w:rPr>
          <w:b w:val="0"/>
          <w:i w:val="0"/>
          <w:sz w:val="19"/>
        </w:rPr>
        <w:t>This toolkit is part of the Outliers Board Excellence Centre™ and is anchored to NCCG 2018, the OECD Principles, King IV and ISO 37000 (by name). It develops the board itself, giving chairs, directors, committees and company secretaries an applied, end-to-end kit to build, run, evaluate and improve board effectiveness in this domain.</w:t>
      </w:r>
    </w:p>
    <w:p>
      <w:pPr>
        <w:pStyle w:val="Heading1"/>
      </w:pPr>
      <w:r>
        <w:t>2. Objectives</w:t>
      </w:r>
    </w:p>
    <w:p>
      <w:r>
        <w:rPr>
          <w:b w:val="0"/>
          <w:i w:val="0"/>
          <w:sz w:val="20"/>
        </w:rPr>
        <w:t>The outcomes this toolkit helps the board achieve:</w:t>
      </w:r>
    </w:p>
    <w:p>
      <w:pPr>
        <w:pStyle w:val="ListBullet"/>
      </w:pPr>
      <w:r>
        <w:rPr>
          <w:sz w:val="19"/>
        </w:rPr>
        <w:t>Diagnose board maturity and set priorities</w:t>
      </w:r>
    </w:p>
    <w:p>
      <w:pPr>
        <w:pStyle w:val="ListBullet"/>
      </w:pPr>
      <w:r>
        <w:rPr>
          <w:sz w:val="19"/>
        </w:rPr>
        <w:t>Build effective board practices and charters</w:t>
      </w:r>
    </w:p>
    <w:p>
      <w:pPr>
        <w:pStyle w:val="ListBullet"/>
      </w:pPr>
      <w:r>
        <w:rPr>
          <w:sz w:val="19"/>
        </w:rPr>
        <w:t>Embed an effective operating rhythm</w:t>
      </w:r>
    </w:p>
    <w:p>
      <w:pPr>
        <w:pStyle w:val="ListBullet"/>
      </w:pPr>
      <w:r>
        <w:rPr>
          <w:sz w:val="19"/>
        </w:rPr>
        <w:t>Develop board capability and culture</w:t>
      </w:r>
    </w:p>
    <w:p>
      <w:pPr>
        <w:pStyle w:val="ListBullet"/>
      </w:pPr>
      <w:r>
        <w:rPr>
          <w:sz w:val="19"/>
        </w:rPr>
        <w:t>Evaluate, improve and renew the board</w:t>
      </w:r>
    </w:p>
    <w:p>
      <w:pPr>
        <w:pStyle w:val="Heading1"/>
      </w:pPr>
      <w:r>
        <w:t>3. Governance</w:t>
      </w:r>
    </w:p>
    <w:p>
      <w:r>
        <w:rPr>
          <w:b w:val="0"/>
          <w:i w:val="0"/>
          <w:sz w:val="20"/>
        </w:rPr>
        <w:t>Board excellence is led by the chair, owned by the board and enabled by the company secretary:</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chair</w:t>
            </w:r>
          </w:p>
        </w:tc>
        <w:tc>
          <w:tcPr>
            <w:tcW w:type="dxa" w:w="8208"/>
          </w:tcPr>
          <w:p>
            <w:r/>
            <w:r>
              <w:rPr>
                <w:rFonts w:ascii="Arial" w:hAnsi="Arial"/>
                <w:b w:val="0"/>
                <w:sz w:val="16"/>
              </w:rPr>
              <w:t>Leads the board and this area of practice</w:t>
            </w:r>
          </w:p>
        </w:tc>
      </w:tr>
      <w:tr>
        <w:tc>
          <w:tcPr>
            <w:tcW w:type="dxa" w:w="3312"/>
            <w:shd w:val="clear" w:fill="F4F7FB"/>
          </w:tcPr>
          <w:p>
            <w:r/>
            <w:r>
              <w:rPr>
                <w:rFonts w:ascii="Arial" w:hAnsi="Arial"/>
                <w:b w:val="0"/>
                <w:sz w:val="16"/>
              </w:rPr>
              <w:t>Board</w:t>
            </w:r>
          </w:p>
        </w:tc>
        <w:tc>
          <w:tcPr>
            <w:tcW w:type="dxa" w:w="8208"/>
            <w:shd w:val="clear" w:fill="F4F7FB"/>
          </w:tcPr>
          <w:p>
            <w:r/>
            <w:r>
              <w:rPr>
                <w:rFonts w:ascii="Arial" w:hAnsi="Arial"/>
                <w:b w:val="0"/>
                <w:sz w:val="16"/>
              </w:rPr>
              <w:t>Owns its own effectiveness</w:t>
            </w:r>
          </w:p>
        </w:tc>
      </w:tr>
      <w:tr>
        <w:tc>
          <w:tcPr>
            <w:tcW w:type="dxa" w:w="3312"/>
          </w:tcPr>
          <w:p>
            <w:r/>
            <w:r>
              <w:rPr>
                <w:rFonts w:ascii="Arial" w:hAnsi="Arial"/>
                <w:b w:val="0"/>
                <w:sz w:val="16"/>
              </w:rPr>
              <w:t>Board committees</w:t>
            </w:r>
          </w:p>
        </w:tc>
        <w:tc>
          <w:tcPr>
            <w:tcW w:type="dxa" w:w="8208"/>
          </w:tcPr>
          <w:p>
            <w:r/>
            <w:r>
              <w:rPr>
                <w:rFonts w:ascii="Arial" w:hAnsi="Arial"/>
                <w:b w:val="0"/>
                <w:sz w:val="16"/>
              </w:rPr>
              <w:t>Discharge delegated oversight</w:t>
            </w:r>
          </w:p>
        </w:tc>
      </w:tr>
      <w:tr>
        <w:tc>
          <w:tcPr>
            <w:tcW w:type="dxa" w:w="3312"/>
            <w:shd w:val="clear" w:fill="F4F7FB"/>
          </w:tcPr>
          <w:p>
            <w:r/>
            <w:r>
              <w:rPr>
                <w:rFonts w:ascii="Arial" w:hAnsi="Arial"/>
                <w:b w:val="0"/>
                <w:sz w:val="16"/>
              </w:rPr>
              <w:t>Company secretary</w:t>
            </w:r>
          </w:p>
        </w:tc>
        <w:tc>
          <w:tcPr>
            <w:tcW w:type="dxa" w:w="8208"/>
            <w:shd w:val="clear" w:fill="F4F7FB"/>
          </w:tcPr>
          <w:p>
            <w:r/>
            <w:r>
              <w:rPr>
                <w:rFonts w:ascii="Arial" w:hAnsi="Arial"/>
                <w:b w:val="0"/>
                <w:sz w:val="16"/>
              </w:rPr>
              <w:t>Enables information, process and evaluation</w:t>
            </w:r>
          </w:p>
        </w:tc>
      </w:tr>
      <w:tr>
        <w:tc>
          <w:tcPr>
            <w:tcW w:type="dxa" w:w="3312"/>
          </w:tcPr>
          <w:p>
            <w:r/>
            <w:r>
              <w:rPr>
                <w:rFonts w:ascii="Arial" w:hAnsi="Arial"/>
                <w:b w:val="0"/>
                <w:sz w:val="16"/>
              </w:rPr>
              <w:t>Management</w:t>
            </w:r>
          </w:p>
        </w:tc>
        <w:tc>
          <w:tcPr>
            <w:tcW w:type="dxa" w:w="8208"/>
          </w:tcPr>
          <w:p>
            <w:r/>
            <w:r>
              <w:rPr>
                <w:rFonts w:ascii="Arial" w:hAnsi="Arial"/>
                <w:b w:val="0"/>
                <w:sz w:val="16"/>
              </w:rPr>
              <w:t>Supports the board and implements decisions</w:t>
            </w:r>
          </w:p>
        </w:tc>
      </w:tr>
    </w:tbl>
    <w:p>
      <w:pPr>
        <w:pStyle w:val="Heading1"/>
      </w:pPr>
      <w:r>
        <w:t>4. Framework</w:t>
      </w:r>
    </w:p>
    <w:p>
      <w:r>
        <w:rPr>
          <w:b w:val="0"/>
          <w:i w:val="0"/>
          <w:sz w:val="20"/>
        </w:rPr>
        <w:t>The framework develops the board itself across leadership, effectiveness, performance, committees, oversight, succession, development and culture — integrating recognised board-effectiveness practice and aligned to NCCG 2018 and the OECD Principles by name.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compliance-driven</w:t>
            </w:r>
          </w:p>
        </w:tc>
        <w:tc>
          <w:tcPr>
            <w:tcW w:type="dxa" w:w="2232"/>
          </w:tcPr>
          <w:p>
            <w:r/>
            <w:r>
              <w:rPr>
                <w:rFonts w:ascii="Arial" w:hAnsi="Arial"/>
                <w:b w:val="0"/>
                <w:sz w:val="16"/>
              </w:rPr>
              <w:t>Basic, inconsistent</w:t>
            </w:r>
          </w:p>
        </w:tc>
        <w:tc>
          <w:tcPr>
            <w:tcW w:type="dxa" w:w="2232"/>
          </w:tcPr>
          <w:p>
            <w:r/>
            <w:r>
              <w:rPr>
                <w:rFonts w:ascii="Arial" w:hAnsi="Arial"/>
                <w:b w:val="0"/>
                <w:sz w:val="16"/>
              </w:rPr>
              <w:t>Structured &amp; governed</w:t>
            </w:r>
          </w:p>
        </w:tc>
        <w:tc>
          <w:tcPr>
            <w:tcW w:type="dxa" w:w="2232"/>
          </w:tcPr>
          <w:p>
            <w:r/>
            <w:r>
              <w:rPr>
                <w:rFonts w:ascii="Arial" w:hAnsi="Arial"/>
                <w:b w:val="0"/>
                <w:sz w:val="16"/>
              </w:rPr>
              <w:t>Measured &amp; evaluated</w:t>
            </w:r>
          </w:p>
        </w:tc>
        <w:tc>
          <w:tcPr>
            <w:tcW w:type="dxa" w:w="2232"/>
          </w:tcPr>
          <w:p>
            <w:r/>
            <w:r>
              <w:rPr>
                <w:rFonts w:ascii="Arial" w:hAnsi="Arial"/>
                <w:b w:val="0"/>
                <w:sz w:val="16"/>
              </w:rPr>
              <w:t>High-performing &amp; renewing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Board chair</w:t>
            </w:r>
          </w:p>
        </w:tc>
        <w:tc>
          <w:tcPr>
            <w:tcW w:type="dxa" w:w="8064"/>
          </w:tcPr>
          <w:p>
            <w:r/>
            <w:r>
              <w:rPr>
                <w:rFonts w:ascii="Arial" w:hAnsi="Arial"/>
                <w:b w:val="0"/>
                <w:sz w:val="17"/>
              </w:rPr>
              <w:t>Leads board excellence and culture</w:t>
            </w:r>
          </w:p>
        </w:tc>
      </w:tr>
      <w:tr>
        <w:tc>
          <w:tcPr>
            <w:tcW w:type="dxa" w:w="3456"/>
            <w:shd w:val="clear" w:fill="F4F7FB"/>
          </w:tcPr>
          <w:p>
            <w:r/>
            <w:r>
              <w:rPr>
                <w:rFonts w:ascii="Arial" w:hAnsi="Arial"/>
                <w:b w:val="0"/>
                <w:sz w:val="17"/>
              </w:rPr>
              <w:t>Board</w:t>
            </w:r>
          </w:p>
        </w:tc>
        <w:tc>
          <w:tcPr>
            <w:tcW w:type="dxa" w:w="8064"/>
            <w:shd w:val="clear" w:fill="F4F7FB"/>
          </w:tcPr>
          <w:p>
            <w:r/>
            <w:r>
              <w:rPr>
                <w:rFonts w:ascii="Arial" w:hAnsi="Arial"/>
                <w:b w:val="0"/>
                <w:sz w:val="17"/>
              </w:rPr>
              <w:t>Owns its own effectiveness</w:t>
            </w:r>
          </w:p>
        </w:tc>
      </w:tr>
      <w:tr>
        <w:tc>
          <w:tcPr>
            <w:tcW w:type="dxa" w:w="3456"/>
          </w:tcPr>
          <w:p>
            <w:r/>
            <w:r>
              <w:rPr>
                <w:rFonts w:ascii="Arial" w:hAnsi="Arial"/>
                <w:b w:val="0"/>
                <w:sz w:val="17"/>
              </w:rPr>
              <w:t>Company secretary</w:t>
            </w:r>
          </w:p>
        </w:tc>
        <w:tc>
          <w:tcPr>
            <w:tcW w:type="dxa" w:w="8064"/>
          </w:tcPr>
          <w:p>
            <w:r/>
            <w:r>
              <w:rPr>
                <w:rFonts w:ascii="Arial" w:hAnsi="Arial"/>
                <w:b w:val="0"/>
                <w:sz w:val="17"/>
              </w:rPr>
              <w:t>Enables effectiveness, information and evaluation</w:t>
            </w:r>
          </w:p>
        </w:tc>
      </w:tr>
      <w:tr>
        <w:tc>
          <w:tcPr>
            <w:tcW w:type="dxa" w:w="3456"/>
            <w:shd w:val="clear" w:fill="F4F7FB"/>
          </w:tcPr>
          <w:p>
            <w:r/>
            <w:r>
              <w:rPr>
                <w:rFonts w:ascii="Arial" w:hAnsi="Arial"/>
                <w:b w:val="0"/>
                <w:sz w:val="17"/>
              </w:rPr>
              <w:t>Committee chairs</w:t>
            </w:r>
          </w:p>
        </w:tc>
        <w:tc>
          <w:tcPr>
            <w:tcW w:type="dxa" w:w="8064"/>
            <w:shd w:val="clear" w:fill="F4F7FB"/>
          </w:tcPr>
          <w:p>
            <w:r/>
            <w:r>
              <w:rPr>
                <w:rFonts w:ascii="Arial" w:hAnsi="Arial"/>
                <w:b w:val="0"/>
                <w:sz w:val="17"/>
              </w:rPr>
              <w:t>Lead effective committees</w:t>
            </w:r>
          </w:p>
        </w:tc>
      </w:tr>
      <w:tr>
        <w:tc>
          <w:tcPr>
            <w:tcW w:type="dxa" w:w="3456"/>
          </w:tcPr>
          <w:p>
            <w:r/>
            <w:r>
              <w:rPr>
                <w:rFonts w:ascii="Arial" w:hAnsi="Arial"/>
                <w:b w:val="0"/>
                <w:sz w:val="17"/>
              </w:rPr>
              <w:t>CEO / executives</w:t>
            </w:r>
          </w:p>
        </w:tc>
        <w:tc>
          <w:tcPr>
            <w:tcW w:type="dxa" w:w="8064"/>
          </w:tcPr>
          <w:p>
            <w:r/>
            <w:r>
              <w:rPr>
                <w:rFonts w:ascii="Arial" w:hAnsi="Arial"/>
                <w:b w:val="0"/>
                <w:sz w:val="17"/>
              </w:rPr>
              <w:t>Support a constructive board relationship</w:t>
            </w:r>
          </w:p>
        </w:tc>
      </w:tr>
    </w:tbl>
    <w:p>
      <w:pPr>
        <w:pStyle w:val="Heading1"/>
      </w:pPr>
      <w:r>
        <w:t>6. Practice / Effectiveness Matrix (sample)</w:t>
      </w:r>
    </w:p>
    <w:p>
      <w:r>
        <w:rPr>
          <w:b w:val="0"/>
          <w:i/>
          <w:sz w:val="19"/>
        </w:rPr>
        <w:t>Illustrative matrix of board practices and how they are operated and evidenced. Full working versions ship as editable XLSX with owners, scores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Practice / Focus</w:t>
            </w:r>
          </w:p>
        </w:tc>
        <w:tc>
          <w:tcPr>
            <w:tcW w:type="dxa" w:w="3456"/>
            <w:shd w:val="clear" w:fill="1B4D89"/>
          </w:tcPr>
          <w:p>
            <w:r/>
            <w:r>
              <w:rPr>
                <w:rFonts w:ascii="Arial" w:hAnsi="Arial"/>
                <w:b/>
                <w:color w:val="FFFFFF"/>
                <w:sz w:val="16"/>
              </w:rPr>
              <w:t>How it is operated</w:t>
            </w:r>
          </w:p>
        </w:tc>
        <w:tc>
          <w:tcPr>
            <w:tcW w:type="dxa" w:w="1872"/>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Cadence</w:t>
            </w:r>
          </w:p>
        </w:tc>
        <w:tc>
          <w:tcPr>
            <w:tcW w:type="dxa" w:w="1296"/>
            <w:shd w:val="clear" w:fill="1B4D89"/>
          </w:tcPr>
          <w:p>
            <w:r/>
            <w:r>
              <w:rPr>
                <w:rFonts w:ascii="Arial" w:hAnsi="Arial"/>
                <w:b/>
                <w:color w:val="FFFFFF"/>
                <w:sz w:val="16"/>
              </w:rPr>
              <w:t>Evidence</w:t>
            </w:r>
          </w:p>
        </w:tc>
      </w:tr>
      <w:tr>
        <w:tc>
          <w:tcPr>
            <w:tcW w:type="dxa" w:w="864"/>
          </w:tcPr>
          <w:p>
            <w:r/>
            <w:r>
              <w:rPr>
                <w:rFonts w:ascii="Arial" w:hAnsi="Arial"/>
                <w:b w:val="0"/>
                <w:sz w:val="16"/>
              </w:rPr>
              <w:t>BE-01</w:t>
            </w:r>
          </w:p>
        </w:tc>
        <w:tc>
          <w:tcPr>
            <w:tcW w:type="dxa" w:w="2880"/>
          </w:tcPr>
          <w:p>
            <w:r/>
            <w:r>
              <w:rPr>
                <w:rFonts w:ascii="Arial" w:hAnsi="Arial"/>
                <w:b w:val="0"/>
                <w:sz w:val="16"/>
              </w:rPr>
              <w:t>Board operating rhythm</w:t>
            </w:r>
          </w:p>
        </w:tc>
        <w:tc>
          <w:tcPr>
            <w:tcW w:type="dxa" w:w="3456"/>
          </w:tcPr>
          <w:p>
            <w:r/>
            <w:r>
              <w:rPr>
                <w:rFonts w:ascii="Arial" w:hAnsi="Arial"/>
                <w:b w:val="0"/>
                <w:sz w:val="16"/>
              </w:rPr>
              <w:t>Annual workplan and calendar</w:t>
            </w:r>
          </w:p>
        </w:tc>
        <w:tc>
          <w:tcPr>
            <w:tcW w:type="dxa" w:w="1872"/>
          </w:tcPr>
          <w:p>
            <w:r/>
            <w:r>
              <w:rPr>
                <w:rFonts w:ascii="Arial" w:hAnsi="Arial"/>
                <w:b w:val="0"/>
                <w:sz w:val="16"/>
              </w:rPr>
              <w:t>Company secretary</w:t>
            </w:r>
          </w:p>
        </w:tc>
        <w:tc>
          <w:tcPr>
            <w:tcW w:type="dxa" w:w="1296"/>
          </w:tcPr>
          <w:p>
            <w:r/>
            <w:r>
              <w:rPr>
                <w:rFonts w:ascii="Arial" w:hAnsi="Arial"/>
                <w:b w:val="0"/>
                <w:sz w:val="16"/>
              </w:rPr>
              <w:t>Annually</w:t>
            </w:r>
          </w:p>
        </w:tc>
        <w:tc>
          <w:tcPr>
            <w:tcW w:type="dxa" w:w="1296"/>
          </w:tcPr>
          <w:p>
            <w:r/>
            <w:r>
              <w:rPr>
                <w:rFonts w:ascii="Arial" w:hAnsi="Arial"/>
                <w:b w:val="0"/>
                <w:sz w:val="16"/>
              </w:rPr>
              <w:t>Workplan</w:t>
            </w:r>
          </w:p>
        </w:tc>
      </w:tr>
      <w:tr>
        <w:tc>
          <w:tcPr>
            <w:tcW w:type="dxa" w:w="864"/>
            <w:shd w:val="clear" w:fill="F4F7FB"/>
          </w:tcPr>
          <w:p>
            <w:r/>
            <w:r>
              <w:rPr>
                <w:rFonts w:ascii="Arial" w:hAnsi="Arial"/>
                <w:b w:val="0"/>
                <w:sz w:val="16"/>
              </w:rPr>
              <w:t>BE-02</w:t>
            </w:r>
          </w:p>
        </w:tc>
        <w:tc>
          <w:tcPr>
            <w:tcW w:type="dxa" w:w="2880"/>
            <w:shd w:val="clear" w:fill="F4F7FB"/>
          </w:tcPr>
          <w:p>
            <w:r/>
            <w:r>
              <w:rPr>
                <w:rFonts w:ascii="Arial" w:hAnsi="Arial"/>
                <w:b w:val="0"/>
                <w:sz w:val="16"/>
              </w:rPr>
              <w:t>Board effectiveness</w:t>
            </w:r>
          </w:p>
        </w:tc>
        <w:tc>
          <w:tcPr>
            <w:tcW w:type="dxa" w:w="3456"/>
            <w:shd w:val="clear" w:fill="F4F7FB"/>
          </w:tcPr>
          <w:p>
            <w:r/>
            <w:r>
              <w:rPr>
                <w:rFonts w:ascii="Arial" w:hAnsi="Arial"/>
                <w:b w:val="0"/>
                <w:sz w:val="16"/>
              </w:rPr>
              <w:t>Effectiveness review and actions</w:t>
            </w:r>
          </w:p>
        </w:tc>
        <w:tc>
          <w:tcPr>
            <w:tcW w:type="dxa" w:w="1872"/>
            <w:shd w:val="clear" w:fill="F4F7FB"/>
          </w:tcPr>
          <w:p>
            <w:r/>
            <w:r>
              <w:rPr>
                <w:rFonts w:ascii="Arial" w:hAnsi="Arial"/>
                <w:b w:val="0"/>
                <w:sz w:val="16"/>
              </w:rPr>
              <w:t>Chair</w:t>
            </w:r>
          </w:p>
        </w:tc>
        <w:tc>
          <w:tcPr>
            <w:tcW w:type="dxa" w:w="1296"/>
            <w:shd w:val="clear" w:fill="F4F7FB"/>
          </w:tcPr>
          <w:p>
            <w:r/>
            <w:r>
              <w:rPr>
                <w:rFonts w:ascii="Arial" w:hAnsi="Arial"/>
                <w:b w:val="0"/>
                <w:sz w:val="16"/>
              </w:rPr>
              <w:t>Annually</w:t>
            </w:r>
          </w:p>
        </w:tc>
        <w:tc>
          <w:tcPr>
            <w:tcW w:type="dxa" w:w="1296"/>
            <w:shd w:val="clear" w:fill="F4F7FB"/>
          </w:tcPr>
          <w:p>
            <w:r/>
            <w:r>
              <w:rPr>
                <w:rFonts w:ascii="Arial" w:hAnsi="Arial"/>
                <w:b w:val="0"/>
                <w:sz w:val="16"/>
              </w:rPr>
              <w:t>Evaluation</w:t>
            </w:r>
          </w:p>
        </w:tc>
      </w:tr>
      <w:tr>
        <w:tc>
          <w:tcPr>
            <w:tcW w:type="dxa" w:w="864"/>
          </w:tcPr>
          <w:p>
            <w:r/>
            <w:r>
              <w:rPr>
                <w:rFonts w:ascii="Arial" w:hAnsi="Arial"/>
                <w:b w:val="0"/>
                <w:sz w:val="16"/>
              </w:rPr>
              <w:t>BE-03</w:t>
            </w:r>
          </w:p>
        </w:tc>
        <w:tc>
          <w:tcPr>
            <w:tcW w:type="dxa" w:w="2880"/>
          </w:tcPr>
          <w:p>
            <w:r/>
            <w:r>
              <w:rPr>
                <w:rFonts w:ascii="Arial" w:hAnsi="Arial"/>
                <w:b w:val="0"/>
                <w:sz w:val="16"/>
              </w:rPr>
              <w:t>Board KPIs</w:t>
            </w:r>
          </w:p>
        </w:tc>
        <w:tc>
          <w:tcPr>
            <w:tcW w:type="dxa" w:w="3456"/>
          </w:tcPr>
          <w:p>
            <w:r/>
            <w:r>
              <w:rPr>
                <w:rFonts w:ascii="Arial" w:hAnsi="Arial"/>
                <w:b w:val="0"/>
                <w:sz w:val="16"/>
              </w:rPr>
              <w:t>Board scorecard reviewed</w:t>
            </w:r>
          </w:p>
        </w:tc>
        <w:tc>
          <w:tcPr>
            <w:tcW w:type="dxa" w:w="1872"/>
          </w:tcPr>
          <w:p>
            <w:r/>
            <w:r>
              <w:rPr>
                <w:rFonts w:ascii="Arial" w:hAnsi="Arial"/>
                <w:b w:val="0"/>
                <w:sz w:val="16"/>
              </w:rPr>
              <w:t>Chair</w:t>
            </w:r>
          </w:p>
        </w:tc>
        <w:tc>
          <w:tcPr>
            <w:tcW w:type="dxa" w:w="1296"/>
          </w:tcPr>
          <w:p>
            <w:r/>
            <w:r>
              <w:rPr>
                <w:rFonts w:ascii="Arial" w:hAnsi="Arial"/>
                <w:b w:val="0"/>
                <w:sz w:val="16"/>
              </w:rPr>
              <w:t>Quarterly</w:t>
            </w:r>
          </w:p>
        </w:tc>
        <w:tc>
          <w:tcPr>
            <w:tcW w:type="dxa" w:w="1296"/>
          </w:tcPr>
          <w:p>
            <w:r/>
            <w:r>
              <w:rPr>
                <w:rFonts w:ascii="Arial" w:hAnsi="Arial"/>
                <w:b w:val="0"/>
                <w:sz w:val="16"/>
              </w:rPr>
              <w:t>Scorecard</w:t>
            </w:r>
          </w:p>
        </w:tc>
      </w:tr>
      <w:tr>
        <w:tc>
          <w:tcPr>
            <w:tcW w:type="dxa" w:w="864"/>
            <w:shd w:val="clear" w:fill="F4F7FB"/>
          </w:tcPr>
          <w:p>
            <w:r/>
            <w:r>
              <w:rPr>
                <w:rFonts w:ascii="Arial" w:hAnsi="Arial"/>
                <w:b w:val="0"/>
                <w:sz w:val="16"/>
              </w:rPr>
              <w:t>BE-04</w:t>
            </w:r>
          </w:p>
        </w:tc>
        <w:tc>
          <w:tcPr>
            <w:tcW w:type="dxa" w:w="2880"/>
            <w:shd w:val="clear" w:fill="F4F7FB"/>
          </w:tcPr>
          <w:p>
            <w:r/>
            <w:r>
              <w:rPr>
                <w:rFonts w:ascii="Arial" w:hAnsi="Arial"/>
                <w:b w:val="0"/>
                <w:sz w:val="16"/>
              </w:rPr>
              <w:t>Board culture</w:t>
            </w:r>
          </w:p>
        </w:tc>
        <w:tc>
          <w:tcPr>
            <w:tcW w:type="dxa" w:w="3456"/>
            <w:shd w:val="clear" w:fill="F4F7FB"/>
          </w:tcPr>
          <w:p>
            <w:r/>
            <w:r>
              <w:rPr>
                <w:rFonts w:ascii="Arial" w:hAnsi="Arial"/>
                <w:b w:val="0"/>
                <w:sz w:val="16"/>
              </w:rPr>
              <w:t>Culture diagnostic and dialogue</w:t>
            </w:r>
          </w:p>
        </w:tc>
        <w:tc>
          <w:tcPr>
            <w:tcW w:type="dxa" w:w="1872"/>
            <w:shd w:val="clear" w:fill="F4F7FB"/>
          </w:tcPr>
          <w:p>
            <w:r/>
            <w:r>
              <w:rPr>
                <w:rFonts w:ascii="Arial" w:hAnsi="Arial"/>
                <w:b w:val="0"/>
                <w:sz w:val="16"/>
              </w:rPr>
              <w:t>Chair</w:t>
            </w:r>
          </w:p>
        </w:tc>
        <w:tc>
          <w:tcPr>
            <w:tcW w:type="dxa" w:w="1296"/>
            <w:shd w:val="clear" w:fill="F4F7FB"/>
          </w:tcPr>
          <w:p>
            <w:r/>
            <w:r>
              <w:rPr>
                <w:rFonts w:ascii="Arial" w:hAnsi="Arial"/>
                <w:b w:val="0"/>
                <w:sz w:val="16"/>
              </w:rPr>
              <w:t>Annually</w:t>
            </w:r>
          </w:p>
        </w:tc>
        <w:tc>
          <w:tcPr>
            <w:tcW w:type="dxa" w:w="1296"/>
            <w:shd w:val="clear" w:fill="F4F7FB"/>
          </w:tcPr>
          <w:p>
            <w:r/>
            <w:r>
              <w:rPr>
                <w:rFonts w:ascii="Arial" w:hAnsi="Arial"/>
                <w:b w:val="0"/>
                <w:sz w:val="16"/>
              </w:rPr>
              <w:t>Diagnostic</w:t>
            </w:r>
          </w:p>
        </w:tc>
      </w:tr>
    </w:tbl>
    <w:p>
      <w:pPr>
        <w:pStyle w:val="Heading1"/>
      </w:pPr>
      <w:r>
        <w:t>7. Sample Practices / Actions</w:t>
      </w:r>
    </w:p>
    <w:p>
      <w:pPr>
        <w:pStyle w:val="ListBullet"/>
      </w:pPr>
      <w:r>
        <w:rPr>
          <w:sz w:val="19"/>
        </w:rPr>
        <w:t>An annual board workplan and calendar operating</w:t>
      </w:r>
    </w:p>
    <w:p>
      <w:pPr>
        <w:pStyle w:val="ListBullet"/>
      </w:pPr>
      <w:r>
        <w:rPr>
          <w:sz w:val="19"/>
        </w:rPr>
        <w:t>A board effectiveness review completed and actioned</w:t>
      </w:r>
    </w:p>
    <w:p>
      <w:pPr>
        <w:pStyle w:val="ListBullet"/>
      </w:pPr>
      <w:r>
        <w:rPr>
          <w:sz w:val="19"/>
        </w:rPr>
        <w:t>A board KPI scorecard reviewed regularly</w:t>
      </w:r>
    </w:p>
    <w:p>
      <w:pPr>
        <w:pStyle w:val="ListBullet"/>
      </w:pPr>
      <w:r>
        <w:rPr>
          <w:sz w:val="19"/>
        </w:rPr>
        <w:t>Director development and induction operating</w:t>
      </w:r>
    </w:p>
    <w:p>
      <w:pPr>
        <w:pStyle w:val="ListBullet"/>
      </w:pPr>
      <w:r>
        <w:rPr>
          <w:sz w:val="19"/>
        </w:rPr>
        <w:t>A board culture diagnostic informing dialogue</w:t>
      </w:r>
    </w:p>
    <w:p>
      <w:pPr>
        <w:pStyle w:val="Heading1"/>
      </w:pPr>
      <w:r>
        <w:t>8. Assessment &amp; Evaluation Approach</w:t>
      </w:r>
    </w:p>
    <w:p>
      <w:r>
        <w:rPr>
          <w:b w:val="0"/>
          <w:i w:val="0"/>
          <w:sz w:val="20"/>
        </w:rPr>
        <w:t>Assess maturity first, then evaluate effectiveness in practice. Use the scale: Effective / Partially effective / Ineffective, and the 0–100 maturity index where a scored workbook is provided.</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Area</w:t>
            </w:r>
          </w:p>
        </w:tc>
        <w:tc>
          <w:tcPr>
            <w:tcW w:type="dxa" w:w="4320"/>
            <w:shd w:val="clear" w:fill="1B4D89"/>
          </w:tcPr>
          <w:p>
            <w:r/>
            <w:r>
              <w:rPr>
                <w:rFonts w:ascii="Arial" w:hAnsi="Arial"/>
                <w:b/>
                <w:color w:val="FFFFFF"/>
                <w:sz w:val="16"/>
              </w:rPr>
              <w:t>Method</w:t>
            </w:r>
          </w:p>
        </w:tc>
        <w:tc>
          <w:tcPr>
            <w:tcW w:type="dxa" w:w="2160"/>
            <w:shd w:val="clear" w:fill="1B4D89"/>
          </w:tcPr>
          <w:p>
            <w:r/>
            <w:r>
              <w:rPr>
                <w:rFonts w:ascii="Arial" w:hAnsi="Arial"/>
                <w:b/>
                <w:color w:val="FFFFFF"/>
                <w:sz w:val="16"/>
              </w:rPr>
              <w:t>Basis</w:t>
            </w:r>
          </w:p>
        </w:tc>
        <w:tc>
          <w:tcPr>
            <w:tcW w:type="dxa" w:w="1440"/>
            <w:shd w:val="clear" w:fill="1B4D89"/>
          </w:tcPr>
          <w:p>
            <w:r/>
            <w:r>
              <w:rPr>
                <w:rFonts w:ascii="Arial" w:hAnsi="Arial"/>
                <w:b/>
                <w:color w:val="FFFFFF"/>
                <w:sz w:val="16"/>
              </w:rPr>
              <w:t>Cadence</w:t>
            </w:r>
          </w:p>
        </w:tc>
      </w:tr>
      <w:tr>
        <w:tc>
          <w:tcPr>
            <w:tcW w:type="dxa" w:w="2880"/>
          </w:tcPr>
          <w:p>
            <w:r/>
            <w:r>
              <w:rPr>
                <w:rFonts w:ascii="Arial" w:hAnsi="Arial"/>
                <w:b w:val="0"/>
                <w:sz w:val="16"/>
              </w:rPr>
              <w:t>Board maturity</w:t>
            </w:r>
          </w:p>
        </w:tc>
        <w:tc>
          <w:tcPr>
            <w:tcW w:type="dxa" w:w="4320"/>
          </w:tcPr>
          <w:p>
            <w:r/>
            <w:r>
              <w:rPr>
                <w:rFonts w:ascii="Arial" w:hAnsi="Arial"/>
                <w:b w:val="0"/>
                <w:sz w:val="16"/>
              </w:rPr>
              <w:t>Score the board maturity workbook</w:t>
            </w:r>
          </w:p>
        </w:tc>
        <w:tc>
          <w:tcPr>
            <w:tcW w:type="dxa" w:w="2160"/>
          </w:tcPr>
          <w:p>
            <w:r/>
            <w:r>
              <w:rPr>
                <w:rFonts w:ascii="Arial" w:hAnsi="Arial"/>
                <w:b w:val="0"/>
                <w:sz w:val="16"/>
              </w:rPr>
              <w:t>Full board</w:t>
            </w:r>
          </w:p>
        </w:tc>
        <w:tc>
          <w:tcPr>
            <w:tcW w:type="dxa" w:w="1440"/>
          </w:tcPr>
          <w:p>
            <w:r/>
            <w:r>
              <w:rPr>
                <w:rFonts w:ascii="Arial" w:hAnsi="Arial"/>
                <w:b w:val="0"/>
                <w:sz w:val="16"/>
              </w:rPr>
              <w:t>Annually</w:t>
            </w:r>
          </w:p>
        </w:tc>
      </w:tr>
      <w:tr>
        <w:tc>
          <w:tcPr>
            <w:tcW w:type="dxa" w:w="2880"/>
            <w:shd w:val="clear" w:fill="F4F7FB"/>
          </w:tcPr>
          <w:p>
            <w:r/>
            <w:r>
              <w:rPr>
                <w:rFonts w:ascii="Arial" w:hAnsi="Arial"/>
                <w:b w:val="0"/>
                <w:sz w:val="16"/>
              </w:rPr>
              <w:t>Effectiveness</w:t>
            </w:r>
          </w:p>
        </w:tc>
        <w:tc>
          <w:tcPr>
            <w:tcW w:type="dxa" w:w="4320"/>
            <w:shd w:val="clear" w:fill="F4F7FB"/>
          </w:tcPr>
          <w:p>
            <w:r/>
            <w:r>
              <w:rPr>
                <w:rFonts w:ascii="Arial" w:hAnsi="Arial"/>
                <w:b w:val="0"/>
                <w:sz w:val="16"/>
              </w:rPr>
              <w:t>Run the board evaluation questionnaire</w:t>
            </w:r>
          </w:p>
        </w:tc>
        <w:tc>
          <w:tcPr>
            <w:tcW w:type="dxa" w:w="2160"/>
            <w:shd w:val="clear" w:fill="F4F7FB"/>
          </w:tcPr>
          <w:p>
            <w:r/>
            <w:r>
              <w:rPr>
                <w:rFonts w:ascii="Arial" w:hAnsi="Arial"/>
                <w:b w:val="0"/>
                <w:sz w:val="16"/>
              </w:rPr>
              <w:t>Full board</w:t>
            </w:r>
          </w:p>
        </w:tc>
        <w:tc>
          <w:tcPr>
            <w:tcW w:type="dxa" w:w="1440"/>
            <w:shd w:val="clear" w:fill="F4F7FB"/>
          </w:tcPr>
          <w:p>
            <w:r/>
            <w:r>
              <w:rPr>
                <w:rFonts w:ascii="Arial" w:hAnsi="Arial"/>
                <w:b w:val="0"/>
                <w:sz w:val="16"/>
              </w:rPr>
              <w:t>Annually</w:t>
            </w:r>
          </w:p>
        </w:tc>
      </w:tr>
      <w:tr>
        <w:tc>
          <w:tcPr>
            <w:tcW w:type="dxa" w:w="2880"/>
          </w:tcPr>
          <w:p>
            <w:r/>
            <w:r>
              <w:rPr>
                <w:rFonts w:ascii="Arial" w:hAnsi="Arial"/>
                <w:b w:val="0"/>
                <w:sz w:val="16"/>
              </w:rPr>
              <w:t>Follow-through</w:t>
            </w:r>
          </w:p>
        </w:tc>
        <w:tc>
          <w:tcPr>
            <w:tcW w:type="dxa" w:w="4320"/>
          </w:tcPr>
          <w:p>
            <w:r/>
            <w:r>
              <w:rPr>
                <w:rFonts w:ascii="Arial" w:hAnsi="Arial"/>
                <w:b w:val="0"/>
                <w:sz w:val="16"/>
              </w:rPr>
              <w:t>Review the board action tracker</w:t>
            </w:r>
          </w:p>
        </w:tc>
        <w:tc>
          <w:tcPr>
            <w:tcW w:type="dxa" w:w="2160"/>
          </w:tcPr>
          <w:p>
            <w:r/>
            <w:r>
              <w:rPr>
                <w:rFonts w:ascii="Arial" w:hAnsi="Arial"/>
                <w:b w:val="0"/>
                <w:sz w:val="16"/>
              </w:rPr>
              <w:t>Sample</w:t>
            </w:r>
          </w:p>
        </w:tc>
        <w:tc>
          <w:tcPr>
            <w:tcW w:type="dxa" w:w="1440"/>
          </w:tcPr>
          <w:p>
            <w:r/>
            <w:r>
              <w:rPr>
                <w:rFonts w:ascii="Arial" w:hAnsi="Arial"/>
                <w:b w:val="0"/>
                <w:sz w:val="16"/>
              </w:rPr>
              <w:t>Quarterly</w:t>
            </w:r>
          </w:p>
        </w:tc>
      </w:tr>
    </w:tbl>
    <w:p>
      <w:r>
        <w:rPr>
          <w:b w:val="0"/>
          <w:i/>
          <w:sz w:val="18"/>
        </w:rPr>
        <w:t>Record results in the relevant workbook (e.g. Board Evaluation Questionnaire, Board Maturity Assessment Workbook) and track actions to closure.</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Diagnose board maturity</w:t>
            </w:r>
          </w:p>
        </w:tc>
        <w:tc>
          <w:tcPr>
            <w:tcW w:type="dxa" w:w="4320"/>
          </w:tcPr>
          <w:p>
            <w:r/>
            <w:r>
              <w:rPr>
                <w:rFonts w:ascii="Arial" w:hAnsi="Arial"/>
                <w:b w:val="0"/>
                <w:sz w:val="17"/>
              </w:rPr>
              <w:t>Baseline and priorities</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Build charters, practices and packs</w:t>
            </w:r>
          </w:p>
        </w:tc>
        <w:tc>
          <w:tcPr>
            <w:tcW w:type="dxa" w:w="4320"/>
            <w:shd w:val="clear" w:fill="F4F7FB"/>
          </w:tcPr>
          <w:p>
            <w:r/>
            <w:r>
              <w:rPr>
                <w:rFonts w:ascii="Arial" w:hAnsi="Arial"/>
                <w:b w:val="0"/>
                <w:sz w:val="17"/>
              </w:rPr>
              <w:t>Operating board practices</w:t>
            </w:r>
          </w:p>
        </w:tc>
      </w:tr>
      <w:tr>
        <w:tc>
          <w:tcPr>
            <w:tcW w:type="dxa" w:w="1872"/>
          </w:tcPr>
          <w:p>
            <w:r/>
            <w:r>
              <w:rPr>
                <w:rFonts w:ascii="Arial" w:hAnsi="Arial"/>
                <w:b w:val="0"/>
                <w:sz w:val="17"/>
              </w:rPr>
              <w:t>Phase 3</w:t>
            </w:r>
          </w:p>
        </w:tc>
        <w:tc>
          <w:tcPr>
            <w:tcW w:type="dxa" w:w="5328"/>
          </w:tcPr>
          <w:p>
            <w:r/>
            <w:r>
              <w:rPr>
                <w:rFonts w:ascii="Arial" w:hAnsi="Arial"/>
                <w:b w:val="0"/>
                <w:sz w:val="17"/>
              </w:rPr>
              <w:t>Embed cadence, capability and culture</w:t>
            </w:r>
          </w:p>
        </w:tc>
        <w:tc>
          <w:tcPr>
            <w:tcW w:type="dxa" w:w="4320"/>
          </w:tcPr>
          <w:p>
            <w:r/>
            <w:r>
              <w:rPr>
                <w:rFonts w:ascii="Arial" w:hAnsi="Arial"/>
                <w:b w:val="0"/>
                <w:sz w:val="17"/>
              </w:rPr>
              <w:t>Effective board</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Evaluate, improve and renew</w:t>
            </w:r>
          </w:p>
        </w:tc>
        <w:tc>
          <w:tcPr>
            <w:tcW w:type="dxa" w:w="4320"/>
            <w:shd w:val="clear" w:fill="F4F7FB"/>
          </w:tcPr>
          <w:p>
            <w:r/>
            <w:r>
              <w:rPr>
                <w:rFonts w:ascii="Arial" w:hAnsi="Arial"/>
                <w:b w:val="0"/>
                <w:sz w:val="17"/>
              </w:rPr>
              <w:t>High-performing board</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Board Excellence Charter</w:t>
      </w:r>
    </w:p>
    <w:p>
      <w:pPr>
        <w:pStyle w:val="ListBullet"/>
      </w:pPr>
      <w:r>
        <w:rPr>
          <w:sz w:val="19"/>
        </w:rPr>
        <w:t>Board Excellence Self-Assessment</w:t>
      </w:r>
    </w:p>
    <w:p>
      <w:pPr>
        <w:pStyle w:val="ListBullet"/>
      </w:pPr>
      <w:r>
        <w:rPr>
          <w:sz w:val="19"/>
        </w:rPr>
        <w:t>Board Maturity Assessment Workbook (XLSX)</w:t>
      </w:r>
    </w:p>
    <w:p>
      <w:pPr>
        <w:pStyle w:val="ListBullet"/>
      </w:pPr>
      <w:r>
        <w:rPr>
          <w:sz w:val="19"/>
        </w:rPr>
        <w:t>Board KPI Scorecard (XLSX)</w:t>
      </w:r>
    </w:p>
    <w:p>
      <w:pPr>
        <w:pStyle w:val="ListBullet"/>
      </w:pPr>
      <w:r>
        <w:rPr>
          <w:sz w:val="19"/>
        </w:rPr>
        <w:t>Board Action Tracker (XLSX)</w:t>
      </w:r>
    </w:p>
    <w:p>
      <w:pPr>
        <w:pStyle w:val="Heading1"/>
      </w:pPr>
      <w:r>
        <w:t>11. Checklists</w:t>
      </w:r>
    </w:p>
    <w:p>
      <w:pPr>
        <w:ind w:left="288"/>
      </w:pPr>
      <w:r>
        <w:rPr>
          <w:sz w:val="19"/>
        </w:rPr>
        <w:t>☐  Board maturity diagnosed and priorities set</w:t>
      </w:r>
    </w:p>
    <w:p>
      <w:pPr>
        <w:ind w:left="288"/>
      </w:pPr>
      <w:r>
        <w:rPr>
          <w:sz w:val="19"/>
        </w:rPr>
        <w:t>☐  Board charter and operating rhythm in place</w:t>
      </w:r>
    </w:p>
    <w:p>
      <w:pPr>
        <w:ind w:left="288"/>
      </w:pPr>
      <w:r>
        <w:rPr>
          <w:sz w:val="19"/>
        </w:rPr>
        <w:t>☐  Board KPI scorecard operating</w:t>
      </w:r>
    </w:p>
    <w:p>
      <w:pPr>
        <w:ind w:left="288"/>
      </w:pPr>
      <w:r>
        <w:rPr>
          <w:sz w:val="19"/>
        </w:rPr>
        <w:t>☐  Effectiveness review completed and actioned</w:t>
      </w:r>
    </w:p>
    <w:p>
      <w:pPr>
        <w:ind w:left="288"/>
      </w:pPr>
      <w:r>
        <w:rPr>
          <w:sz w:val="19"/>
        </w:rPr>
        <w:t>☐  Director development operating</w:t>
      </w:r>
    </w:p>
    <w:p>
      <w:pPr>
        <w:ind w:left="288"/>
      </w:pPr>
      <w:r>
        <w:rPr>
          <w:sz w:val="19"/>
        </w:rPr>
        <w:t>☐  Succession planning in place</w:t>
      </w:r>
    </w:p>
    <w:p>
      <w:pPr>
        <w:ind w:left="288"/>
      </w:pPr>
      <w:r>
        <w:rPr>
          <w:sz w:val="19"/>
        </w:rPr>
        <w:t>☐  Board culture surfaced and discussed</w:t>
      </w:r>
    </w:p>
    <w:p>
      <w:pPr>
        <w:ind w:left="288"/>
      </w:pPr>
      <w:r>
        <w:rPr>
          <w:sz w:val="19"/>
        </w:rPr>
        <w:t>☐  Improvement tracked to closure</w:t>
      </w:r>
    </w:p>
    <w:p>
      <w:pPr>
        <w:pStyle w:val="Heading1"/>
      </w:pPr>
      <w:r>
        <w:t>12. Board Reporting Examples</w:t>
      </w:r>
    </w:p>
    <w:p>
      <w:r>
        <w:rPr>
          <w:b w:val="0"/>
          <w:i w:val="0"/>
          <w:sz w:val="19"/>
        </w:rPr>
        <w:t>Standard board report: executive summary · effectiveness vs target (RAG) · key metrics ·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Board excellence index</w:t>
            </w:r>
          </w:p>
        </w:tc>
        <w:tc>
          <w:tcPr>
            <w:tcW w:type="dxa" w:w="1440"/>
          </w:tcPr>
          <w:p>
            <w:r/>
            <w:r>
              <w:rPr>
                <w:rFonts w:ascii="Arial" w:hAnsi="Arial"/>
                <w:b w:val="0"/>
                <w:sz w:val="16"/>
              </w:rPr>
              <w:t>68</w:t>
            </w:r>
          </w:p>
        </w:tc>
        <w:tc>
          <w:tcPr>
            <w:tcW w:type="dxa" w:w="1440"/>
          </w:tcPr>
          <w:p>
            <w:r/>
            <w:r>
              <w:rPr>
                <w:rFonts w:ascii="Arial" w:hAnsi="Arial"/>
                <w:b w:val="0"/>
                <w:sz w:val="16"/>
              </w:rPr>
              <w:t>80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Advance to Managed</w:t>
            </w:r>
          </w:p>
        </w:tc>
      </w:tr>
      <w:tr>
        <w:tc>
          <w:tcPr>
            <w:tcW w:type="dxa" w:w="3168"/>
            <w:shd w:val="clear" w:fill="F4F7FB"/>
          </w:tcPr>
          <w:p>
            <w:r/>
            <w:r>
              <w:rPr>
                <w:rFonts w:ascii="Arial" w:hAnsi="Arial"/>
                <w:b w:val="0"/>
                <w:sz w:val="16"/>
              </w:rPr>
              <w:t>Evaluation actions closed</w:t>
            </w:r>
          </w:p>
        </w:tc>
        <w:tc>
          <w:tcPr>
            <w:tcW w:type="dxa" w:w="1440"/>
            <w:shd w:val="clear" w:fill="F4F7FB"/>
          </w:tcPr>
          <w:p>
            <w:r/>
            <w:r>
              <w:rPr>
                <w:rFonts w:ascii="Arial" w:hAnsi="Arial"/>
                <w:b w:val="0"/>
                <w:sz w:val="16"/>
              </w:rPr>
              <w:t>75%</w:t>
            </w:r>
          </w:p>
        </w:tc>
        <w:tc>
          <w:tcPr>
            <w:tcW w:type="dxa" w:w="1440"/>
            <w:shd w:val="clear" w:fill="F4F7FB"/>
          </w:tcPr>
          <w:p>
            <w:r/>
            <w:r>
              <w:rPr>
                <w:rFonts w:ascii="Arial" w:hAnsi="Arial"/>
                <w:b w:val="0"/>
                <w:sz w:val="16"/>
              </w:rPr>
              <w:t>≥90%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Accelerate closure</w:t>
            </w:r>
          </w:p>
        </w:tc>
      </w:tr>
      <w:tr>
        <w:tc>
          <w:tcPr>
            <w:tcW w:type="dxa" w:w="3168"/>
          </w:tcPr>
          <w:p>
            <w:r/>
            <w:r>
              <w:rPr>
                <w:rFonts w:ascii="Arial" w:hAnsi="Arial"/>
                <w:b w:val="0"/>
                <w:sz w:val="16"/>
              </w:rPr>
              <w:t>Meeting effectiveness</w:t>
            </w:r>
          </w:p>
        </w:tc>
        <w:tc>
          <w:tcPr>
            <w:tcW w:type="dxa" w:w="1440"/>
          </w:tcPr>
          <w:p>
            <w:r/>
            <w:r>
              <w:rPr>
                <w:rFonts w:ascii="Arial" w:hAnsi="Arial"/>
                <w:b w:val="0"/>
                <w:sz w:val="16"/>
              </w:rPr>
              <w:t>3.8</w:t>
            </w:r>
          </w:p>
        </w:tc>
        <w:tc>
          <w:tcPr>
            <w:tcW w:type="dxa" w:w="1440"/>
          </w:tcPr>
          <w:p>
            <w:r/>
            <w:r>
              <w:rPr>
                <w:rFonts w:ascii="Arial" w:hAnsi="Arial"/>
                <w:b w:val="0"/>
                <w:sz w:val="16"/>
              </w:rPr>
              <w:t>≥4.5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Improve meetings</w:t>
            </w:r>
          </w:p>
        </w:tc>
      </w:tr>
      <w:tr>
        <w:tc>
          <w:tcPr>
            <w:tcW w:type="dxa" w:w="3168"/>
            <w:shd w:val="clear" w:fill="F4F7FB"/>
          </w:tcPr>
          <w:p>
            <w:r/>
            <w:r>
              <w:rPr>
                <w:rFonts w:ascii="Arial" w:hAnsi="Arial"/>
                <w:b w:val="0"/>
                <w:sz w:val="16"/>
              </w:rPr>
              <w:t>Board culture index</w:t>
            </w:r>
          </w:p>
        </w:tc>
        <w:tc>
          <w:tcPr>
            <w:tcW w:type="dxa" w:w="1440"/>
            <w:shd w:val="clear" w:fill="F4F7FB"/>
          </w:tcPr>
          <w:p>
            <w:r/>
            <w:r>
              <w:rPr>
                <w:rFonts w:ascii="Arial" w:hAnsi="Arial"/>
                <w:b w:val="0"/>
                <w:sz w:val="16"/>
              </w:rPr>
              <w:t>72</w:t>
            </w:r>
          </w:p>
        </w:tc>
        <w:tc>
          <w:tcPr>
            <w:tcW w:type="dxa" w:w="1440"/>
            <w:shd w:val="clear" w:fill="F4F7FB"/>
          </w:tcPr>
          <w:p>
            <w:r/>
            <w:r>
              <w:rPr>
                <w:rFonts w:ascii="Arial" w:hAnsi="Arial"/>
                <w:b w:val="0"/>
                <w:sz w:val="16"/>
              </w:rPr>
              <w:t>≥80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Strengthen culture</w:t>
            </w:r>
          </w:p>
        </w:tc>
      </w:tr>
    </w:tbl>
    <w:p>
      <w:pPr>
        <w:pStyle w:val="Heading1"/>
      </w:pPr>
      <w:r>
        <w:t>13. Committee / Board Reporting</w:t>
      </w:r>
    </w:p>
    <w:p>
      <w:r>
        <w:rPr>
          <w:b w:val="0"/>
          <w:i/>
          <w:sz w:val="19"/>
        </w:rPr>
        <w:t>Illustrative one-page summary for the board or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Board excellence</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Defined; advancing to Managed</w:t>
            </w:r>
          </w:p>
        </w:tc>
      </w:tr>
      <w:tr>
        <w:tc>
          <w:tcPr>
            <w:tcW w:type="dxa" w:w="2736"/>
            <w:shd w:val="clear" w:fill="F4F7FB"/>
          </w:tcPr>
          <w:p>
            <w:r/>
            <w:r>
              <w:rPr>
                <w:rFonts w:ascii="Arial" w:hAnsi="Arial"/>
                <w:b w:val="0"/>
                <w:sz w:val="16"/>
              </w:rPr>
              <w:t>Effectiveness</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Improving; actions in train</w:t>
            </w:r>
          </w:p>
        </w:tc>
      </w:tr>
      <w:tr>
        <w:tc>
          <w:tcPr>
            <w:tcW w:type="dxa" w:w="2736"/>
          </w:tcPr>
          <w:p>
            <w:r/>
            <w:r>
              <w:rPr>
                <w:rFonts w:ascii="Arial" w:hAnsi="Arial"/>
                <w:b w:val="0"/>
                <w:sz w:val="16"/>
              </w:rPr>
              <w:t>Culture</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Healthy; being strengthened</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improvement plan</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Board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On track</w:t>
            </w:r>
          </w:p>
        </w:tc>
        <w:tc>
          <w:tcPr>
            <w:tcW w:type="dxa" w:w="5184"/>
          </w:tcPr>
          <w:p>
            <w:r/>
            <w:r>
              <w:rPr>
                <w:rFonts w:ascii="Arial" w:hAnsi="Arial"/>
                <w:b w:val="0"/>
                <w:sz w:val="16"/>
              </w:rPr>
              <w:t>Practice effective; at or above expectation</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Watch</w:t>
            </w:r>
          </w:p>
        </w:tc>
        <w:tc>
          <w:tcPr>
            <w:tcW w:type="dxa" w:w="5184"/>
            <w:shd w:val="clear" w:fill="F4F7FB"/>
          </w:tcPr>
          <w:p>
            <w:r/>
            <w:r>
              <w:rPr>
                <w:rFonts w:ascii="Arial" w:hAnsi="Arial"/>
                <w:b w:val="0"/>
                <w:sz w:val="16"/>
              </w:rPr>
              <w:t>Practice partially effective or below target</w:t>
            </w:r>
          </w:p>
        </w:tc>
        <w:tc>
          <w:tcPr>
            <w:tcW w:type="dxa" w:w="2880"/>
            <w:shd w:val="clear" w:fill="F4F7FB"/>
          </w:tcPr>
          <w:p>
            <w:r/>
            <w:r>
              <w:rPr>
                <w:rFonts w:ascii="Arial" w:hAnsi="Arial"/>
                <w:b w:val="0"/>
                <w:sz w:val="16"/>
              </w:rPr>
              <w:t>Improve and re-evaluate</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Off track</w:t>
            </w:r>
          </w:p>
        </w:tc>
        <w:tc>
          <w:tcPr>
            <w:tcW w:type="dxa" w:w="5184"/>
          </w:tcPr>
          <w:p>
            <w:r/>
            <w:r>
              <w:rPr>
                <w:rFonts w:ascii="Arial" w:hAnsi="Arial"/>
                <w:b w:val="0"/>
                <w:sz w:val="16"/>
              </w:rPr>
              <w:t>Practice ineffective or materially below target</w:t>
            </w:r>
          </w:p>
        </w:tc>
        <w:tc>
          <w:tcPr>
            <w:tcW w:type="dxa" w:w="2880"/>
          </w:tcPr>
          <w:p>
            <w:r/>
            <w:r>
              <w:rPr>
                <w:rFonts w:ascii="Arial" w:hAnsi="Arial"/>
                <w:b w:val="0"/>
                <w:sz w:val="16"/>
              </w:rPr>
              <w:t>Escalate and act</w:t>
            </w:r>
          </w:p>
        </w:tc>
      </w:tr>
    </w:tbl>
    <w:p>
      <w:pPr>
        <w:pStyle w:val="Heading2"/>
      </w:pPr>
      <w:r>
        <w:t>Notes &amp; Disclaimer</w:t>
      </w:r>
    </w:p>
    <w:p>
      <w:r>
        <w:rPr>
          <w:b w:val="0"/>
          <w:i/>
          <w:sz w:val="18"/>
        </w:rPr>
        <w:t>This resource is a professional board-effectiveness template, not legal, governance or investment advice. It is anchored to the Nigerian Code of Corporate Governance (NCCG 2018), FRCN, SEC Nigeria, CBN, NAICOM, CAMA, the OECD Principles of Corporate Governance, the IFC Corporate Governance Methodology, King IV, ISO 37000, the IoD Global Governance Principles and WEF board-governance publications — referenced by name only, with no copyrighted content reproduced and no legal provisions, regulatory requirements, statistics or case studies fabricated. Calibrate roles, criteria, thresholds and practices to your board and confirm requirements against the current instruments.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