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Change Management Control SOP</w:t>
      </w:r>
    </w:p>
    <w:p>
      <w:r>
        <w:rPr>
          <w:color w:val="5A5A5A"/>
          <w:sz w:val="20"/>
        </w:rPr>
        <w:t>Standard Operating Procedure · Entitlement: Professional · Audience: Boards, auditors, finance, risk &amp; compliance</w:t>
      </w:r>
    </w:p>
    <w:p/>
    <w:p>
      <w:r>
        <w:t>SOP — Change Management Control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“Change Management Control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fw_itgc. Diagnostic assessment: asm_itgc. Advisory service: svc_it_controls.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