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B4D89"/>
          <w:sz w:val="24"/>
        </w:rPr>
        <w:t>OUTLIERS DATA &amp; AI CENTRE™</w:t>
      </w:r>
    </w:p>
    <w:p>
      <w:pPr>
        <w:jc w:val="center"/>
      </w:pPr>
      <w:r>
        <w:rPr>
          <w:b/>
          <w:color w:val="10243F"/>
          <w:sz w:val="50"/>
        </w:rPr>
        <w:t>Executive AI Guide</w:t>
      </w:r>
    </w:p>
    <w:p>
      <w:pPr>
        <w:jc w:val="center"/>
      </w:pPr>
      <w:r>
        <w:rPr>
          <w:color w:val="C97B2C"/>
          <w:sz w:val="26"/>
        </w:rPr>
        <w:t>Lead data &amp; AI with confidence</w:t>
      </w:r>
    </w:p>
    <w:p/>
    <w:p/>
    <w:p>
      <w:pPr>
        <w:jc w:val="center"/>
      </w:pPr>
      <w:r>
        <w:rPr>
          <w:color w:val="555555"/>
          <w:sz w:val="20"/>
        </w:rPr>
        <w:t>CEOs / CFOs / Executive Team  ·  Flagship Edition 2026</w:t>
      </w:r>
    </w:p>
    <w:p>
      <w:pPr>
        <w:jc w:val="center"/>
      </w:pPr>
      <w:r>
        <w:rPr>
          <w:i/>
          <w:color w:val="555555"/>
          <w:sz w:val="18"/>
        </w:rPr>
        <w:t>Publication-ready resource for the Outliers Resource Library</w:t>
      </w:r>
    </w:p>
    <w:p>
      <w:r>
        <w:br w:type="page"/>
      </w:r>
    </w:p>
    <w:p>
      <w:pPr>
        <w:pStyle w:val="Heading1"/>
      </w:pPr>
      <w:r>
        <w:t>1. Why Data &amp; AI Now</w:t>
      </w:r>
    </w:p>
    <w:p>
      <w:r>
        <w:rPr>
          <w:b w:val="0"/>
          <w:i w:val="0"/>
          <w:sz w:val="20"/>
        </w:rPr>
        <w:t>Data and AI have moved from technical projects to core sources of value, efficiency and competitive advantage — and of risk. Executives do not need to build models, but they do need to set direction, allocate capital, govern responsibly and realise value.</w:t>
      </w:r>
    </w:p>
    <w:p>
      <w:pPr>
        <w:pStyle w:val="Heading1"/>
      </w:pPr>
      <w:r>
        <w:t>2. The Executive Agenda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230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Priority</w:t>
            </w:r>
          </w:p>
        </w:tc>
        <w:tc>
          <w:tcPr>
            <w:tcW w:type="dxa" w:w="921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What to do</w:t>
            </w:r>
          </w:p>
        </w:tc>
      </w:tr>
      <w:tr>
        <w:tc>
          <w:tcPr>
            <w:tcW w:type="dxa" w:w="2304"/>
          </w:tcPr>
          <w:p>
            <w:r/>
            <w:r>
              <w:rPr>
                <w:rFonts w:ascii="Arial" w:hAnsi="Arial"/>
                <w:b w:val="0"/>
                <w:sz w:val="16"/>
              </w:rPr>
              <w:t>Strategy</w:t>
            </w:r>
          </w:p>
        </w:tc>
        <w:tc>
          <w:tcPr>
            <w:tcW w:type="dxa" w:w="9216"/>
          </w:tcPr>
          <w:p>
            <w:r/>
            <w:r>
              <w:rPr>
                <w:rFonts w:ascii="Arial" w:hAnsi="Arial"/>
                <w:b w:val="0"/>
                <w:sz w:val="16"/>
              </w:rPr>
              <w:t>Link AI investment to clear business value</w:t>
            </w:r>
          </w:p>
        </w:tc>
      </w:tr>
      <w:tr>
        <w:tc>
          <w:tcPr>
            <w:tcW w:type="dxa" w:w="230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Foundations</w:t>
            </w:r>
          </w:p>
        </w:tc>
        <w:tc>
          <w:tcPr>
            <w:tcW w:type="dxa" w:w="921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Fund data quality and governance — the bedrock of AI</w:t>
            </w:r>
          </w:p>
        </w:tc>
      </w:tr>
      <w:tr>
        <w:tc>
          <w:tcPr>
            <w:tcW w:type="dxa" w:w="2304"/>
          </w:tcPr>
          <w:p>
            <w:r/>
            <w:r>
              <w:rPr>
                <w:rFonts w:ascii="Arial" w:hAnsi="Arial"/>
                <w:b w:val="0"/>
                <w:sz w:val="16"/>
              </w:rPr>
              <w:t>Portfolio</w:t>
            </w:r>
          </w:p>
        </w:tc>
        <w:tc>
          <w:tcPr>
            <w:tcW w:type="dxa" w:w="9216"/>
          </w:tcPr>
          <w:p>
            <w:r/>
            <w:r>
              <w:rPr>
                <w:rFonts w:ascii="Arial" w:hAnsi="Arial"/>
                <w:b w:val="0"/>
                <w:sz w:val="16"/>
              </w:rPr>
              <w:t>Prioritise a small number of high-value use cases</w:t>
            </w:r>
          </w:p>
        </w:tc>
      </w:tr>
      <w:tr>
        <w:tc>
          <w:tcPr>
            <w:tcW w:type="dxa" w:w="230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Governance</w:t>
            </w:r>
          </w:p>
        </w:tc>
        <w:tc>
          <w:tcPr>
            <w:tcW w:type="dxa" w:w="921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Govern AI responsibly; tier by risk; assign ownership</w:t>
            </w:r>
          </w:p>
        </w:tc>
      </w:tr>
      <w:tr>
        <w:tc>
          <w:tcPr>
            <w:tcW w:type="dxa" w:w="2304"/>
          </w:tcPr>
          <w:p>
            <w:r/>
            <w:r>
              <w:rPr>
                <w:rFonts w:ascii="Arial" w:hAnsi="Arial"/>
                <w:b w:val="0"/>
                <w:sz w:val="16"/>
              </w:rPr>
              <w:t>Talent &amp; culture</w:t>
            </w:r>
          </w:p>
        </w:tc>
        <w:tc>
          <w:tcPr>
            <w:tcW w:type="dxa" w:w="9216"/>
          </w:tcPr>
          <w:p>
            <w:r/>
            <w:r>
              <w:rPr>
                <w:rFonts w:ascii="Arial" w:hAnsi="Arial"/>
                <w:b w:val="0"/>
                <w:sz w:val="16"/>
              </w:rPr>
              <w:t>Build skills and a data-informed culture</w:t>
            </w:r>
          </w:p>
        </w:tc>
      </w:tr>
      <w:tr>
        <w:tc>
          <w:tcPr>
            <w:tcW w:type="dxa" w:w="230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Value</w:t>
            </w:r>
          </w:p>
        </w:tc>
        <w:tc>
          <w:tcPr>
            <w:tcW w:type="dxa" w:w="921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Track and bank benefits; retire what doesn't work</w:t>
            </w:r>
          </w:p>
        </w:tc>
      </w:tr>
    </w:tbl>
    <w:p>
      <w:pPr>
        <w:pStyle w:val="Heading1"/>
      </w:pPr>
      <w:r>
        <w:t>3. Common Pitfalls</w:t>
      </w:r>
    </w:p>
    <w:p>
      <w:pPr>
        <w:pStyle w:val="ListBullet"/>
      </w:pPr>
      <w:r>
        <w:rPr>
          <w:sz w:val="19"/>
        </w:rPr>
        <w:t>Buying AI tools without a value case</w:t>
      </w:r>
    </w:p>
    <w:p>
      <w:pPr>
        <w:pStyle w:val="ListBullet"/>
      </w:pPr>
      <w:r>
        <w:rPr>
          <w:sz w:val="19"/>
        </w:rPr>
        <w:t>Scaling AI on poor-quality data</w:t>
      </w:r>
    </w:p>
    <w:p>
      <w:pPr>
        <w:pStyle w:val="ListBullet"/>
      </w:pPr>
      <w:r>
        <w:rPr>
          <w:sz w:val="19"/>
        </w:rPr>
        <w:t>Pilots that never reach production</w:t>
      </w:r>
    </w:p>
    <w:p>
      <w:pPr>
        <w:pStyle w:val="ListBullet"/>
      </w:pPr>
      <w:r>
        <w:rPr>
          <w:sz w:val="19"/>
        </w:rPr>
        <w:t>Ungoverned 'shadow AI' creating risk</w:t>
      </w:r>
    </w:p>
    <w:p>
      <w:pPr>
        <w:pStyle w:val="ListBullet"/>
      </w:pPr>
      <w:r>
        <w:rPr>
          <w:sz w:val="19"/>
        </w:rPr>
        <w:t>Ignoring change management and adoption</w:t>
      </w:r>
    </w:p>
    <w:p>
      <w:pPr>
        <w:pStyle w:val="ListBullet"/>
      </w:pPr>
      <w:r>
        <w:rPr>
          <w:sz w:val="19"/>
        </w:rPr>
        <w:t>Treating AI as IT's problem, not leadership's</w:t>
      </w:r>
    </w:p>
    <w:p>
      <w:pPr>
        <w:pStyle w:val="Heading1"/>
      </w:pPr>
      <w:r>
        <w:t>4. The First 90 Days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230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Phase</w:t>
            </w:r>
          </w:p>
        </w:tc>
        <w:tc>
          <w:tcPr>
            <w:tcW w:type="dxa" w:w="921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Focus</w:t>
            </w:r>
          </w:p>
        </w:tc>
      </w:tr>
      <w:tr>
        <w:tc>
          <w:tcPr>
            <w:tcW w:type="dxa" w:w="2304"/>
          </w:tcPr>
          <w:p>
            <w:r/>
            <w:r>
              <w:rPr>
                <w:rFonts w:ascii="Arial" w:hAnsi="Arial"/>
                <w:b w:val="0"/>
                <w:sz w:val="16"/>
              </w:rPr>
              <w:t>Weeks 1-4</w:t>
            </w:r>
          </w:p>
        </w:tc>
        <w:tc>
          <w:tcPr>
            <w:tcW w:type="dxa" w:w="9216"/>
          </w:tcPr>
          <w:p>
            <w:r/>
            <w:r>
              <w:rPr>
                <w:rFonts w:ascii="Arial" w:hAnsi="Arial"/>
                <w:b w:val="0"/>
                <w:sz w:val="16"/>
              </w:rPr>
              <w:t>Assess readiness and maturity; set direction</w:t>
            </w:r>
          </w:p>
        </w:tc>
      </w:tr>
      <w:tr>
        <w:tc>
          <w:tcPr>
            <w:tcW w:type="dxa" w:w="230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Weeks 5-8</w:t>
            </w:r>
          </w:p>
        </w:tc>
        <w:tc>
          <w:tcPr>
            <w:tcW w:type="dxa" w:w="921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Prioritise use cases; stand up governance</w:t>
            </w:r>
          </w:p>
        </w:tc>
      </w:tr>
      <w:tr>
        <w:tc>
          <w:tcPr>
            <w:tcW w:type="dxa" w:w="2304"/>
          </w:tcPr>
          <w:p>
            <w:r/>
            <w:r>
              <w:rPr>
                <w:rFonts w:ascii="Arial" w:hAnsi="Arial"/>
                <w:b w:val="0"/>
                <w:sz w:val="16"/>
              </w:rPr>
              <w:t>Weeks 9-12</w:t>
            </w:r>
          </w:p>
        </w:tc>
        <w:tc>
          <w:tcPr>
            <w:tcW w:type="dxa" w:w="9216"/>
          </w:tcPr>
          <w:p>
            <w:r/>
            <w:r>
              <w:rPr>
                <w:rFonts w:ascii="Arial" w:hAnsi="Arial"/>
                <w:b w:val="0"/>
                <w:sz w:val="16"/>
              </w:rPr>
              <w:t>Launch priority pilots; define value tracking</w:t>
            </w:r>
          </w:p>
        </w:tc>
      </w:tr>
    </w:tbl>
    <w:p>
      <w:pPr>
        <w:pStyle w:val="Heading2"/>
      </w:pPr>
      <w:r>
        <w:t>Notes &amp; Disclaimer</w:t>
      </w:r>
    </w:p>
    <w:p>
      <w:r>
        <w:rPr>
          <w:b w:val="0"/>
          <w:i/>
          <w:sz w:val="18"/>
        </w:rPr>
        <w:t>This toolkit is a professional management resource, not legal or regulatory advice. Calibrate scoring, tiers, policies and governance to your organisation, sector and applicable regulation. Data-protection items should be confirmed against the Nigeria Data Protection Act (NDPA) and other applicable law; AI-specific obligations should be confirmed against current and emerging regulation.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10243F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1B4D89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B4D89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