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B4D89"/>
          <w:sz w:val="24"/>
        </w:rPr>
        <w:t>OUTLIERS RISK MANAGEMENT CENTRE™</w:t>
      </w:r>
    </w:p>
    <w:p>
      <w:pPr>
        <w:jc w:val="center"/>
      </w:pPr>
      <w:r>
        <w:rPr>
          <w:b/>
          <w:color w:val="10243F"/>
          <w:sz w:val="52"/>
        </w:rPr>
        <w:t>Business Continuity Toolkit™</w:t>
      </w:r>
    </w:p>
    <w:p>
      <w:pPr>
        <w:jc w:val="center"/>
      </w:pPr>
      <w:r>
        <w:rPr>
          <w:color w:val="C97B2C"/>
          <w:sz w:val="26"/>
        </w:rPr>
        <w:t>Keep critical operations running and recover quickly</w:t>
      </w:r>
    </w:p>
    <w:p/>
    <w:p/>
    <w:p>
      <w:pPr>
        <w:jc w:val="center"/>
      </w:pPr>
      <w:r>
        <w:rPr>
          <w:color w:val="555555"/>
          <w:sz w:val="20"/>
        </w:rPr>
        <w:t>BCM Lead / Operations / CRO  ·  Access Tier T2  ·  Flagship Edition 2026</w:t>
      </w:r>
    </w:p>
    <w:p>
      <w:pPr>
        <w:jc w:val="center"/>
      </w:pPr>
      <w:r>
        <w:rPr>
          <w:i/>
          <w:color w:val="555555"/>
          <w:sz w:val="18"/>
        </w:rPr>
        <w:t>Publication-ready resource for the Outliers Resource Library</w:t>
      </w:r>
    </w:p>
    <w:p>
      <w:r>
        <w:br w:type="page"/>
      </w:r>
    </w:p>
    <w:p>
      <w:pPr>
        <w:pStyle w:val="Heading1"/>
      </w:pPr>
      <w:r>
        <w:t>1. Full Guide</w:t>
      </w:r>
    </w:p>
    <w:p>
      <w:r>
        <w:rPr>
          <w:b w:val="0"/>
          <w:i w:val="0"/>
          <w:sz w:val="20"/>
        </w:rPr>
        <w:t>Business continuity management (BCM) ensures critical operations continue or recover quickly through disruption. This toolkit covers business-impact analysis, continuity strategies, plans, recovery objectives and exercising.</w:t>
      </w:r>
    </w:p>
    <w:p>
      <w:pPr>
        <w:pStyle w:val="Heading2"/>
      </w:pPr>
      <w:r>
        <w:t>The BCM lifecycle</w:t>
      </w:r>
    </w:p>
    <w:p>
      <w:pPr>
        <w:pStyle w:val="ListNumber"/>
      </w:pPr>
      <w:r>
        <w:rPr>
          <w:sz w:val="19"/>
        </w:rPr>
        <w:t>Business Impact Analysis (BIA) — identify critical processes &amp; RTO/RPO</w:t>
      </w:r>
    </w:p>
    <w:p>
      <w:pPr>
        <w:pStyle w:val="ListNumber"/>
      </w:pPr>
      <w:r>
        <w:rPr>
          <w:sz w:val="19"/>
        </w:rPr>
        <w:t>Continuity strategy — how each process is sustained/recovered</w:t>
      </w:r>
    </w:p>
    <w:p>
      <w:pPr>
        <w:pStyle w:val="ListNumber"/>
      </w:pPr>
      <w:r>
        <w:rPr>
          <w:sz w:val="19"/>
        </w:rPr>
        <w:t>Plan development — BC &amp; DR plans with roles</w:t>
      </w:r>
    </w:p>
    <w:p>
      <w:pPr>
        <w:pStyle w:val="ListNumber"/>
      </w:pPr>
      <w:r>
        <w:rPr>
          <w:sz w:val="19"/>
        </w:rPr>
        <w:t>Exercising — test and improve</w:t>
      </w:r>
    </w:p>
    <w:p>
      <w:pPr>
        <w:pStyle w:val="ListNumber"/>
      </w:pPr>
      <w:r>
        <w:rPr>
          <w:sz w:val="19"/>
        </w:rPr>
        <w:t>Governance — maintain, review, assure</w:t>
      </w:r>
    </w:p>
    <w:p>
      <w:pPr>
        <w:pStyle w:val="Heading2"/>
      </w:pPr>
      <w:r>
        <w:t>Maturity model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L1 Fragile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L2 Functional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L3 Disciplined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L4 Strategic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L5 Resilient</w:t>
            </w:r>
          </w:p>
        </w:tc>
      </w:tr>
      <w:tr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Informal / reactive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Basic, siloed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Standardised &amp; governed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Integrated &amp; quantified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Predictive &amp; embedded</w:t>
            </w:r>
          </w:p>
        </w:tc>
      </w:tr>
    </w:tbl>
    <w:p>
      <w:pPr>
        <w:pStyle w:val="Heading1"/>
      </w:pPr>
      <w:r>
        <w:t>2. Templates</w:t>
      </w:r>
    </w:p>
    <w:p>
      <w:pPr>
        <w:pStyle w:val="Heading2"/>
      </w:pPr>
      <w:r>
        <w:t>2.1 Business Impact Analysis (template)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32"/>
        <w:gridCol w:w="1632"/>
        <w:gridCol w:w="1632"/>
        <w:gridCol w:w="1632"/>
        <w:gridCol w:w="1632"/>
        <w:gridCol w:w="1632"/>
      </w:tblGrid>
      <w:tr>
        <w:tc>
          <w:tcPr>
            <w:tcW w:type="dxa" w:w="230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Process</w:t>
            </w:r>
          </w:p>
        </w:tc>
        <w:tc>
          <w:tcPr>
            <w:tcW w:type="dxa" w:w="158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Criticality</w:t>
            </w:r>
          </w:p>
        </w:tc>
        <w:tc>
          <w:tcPr>
            <w:tcW w:type="dxa" w:w="244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Max tolerable downtime</w:t>
            </w:r>
          </w:p>
        </w:tc>
        <w:tc>
          <w:tcPr>
            <w:tcW w:type="dxa" w:w="12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RTO</w:t>
            </w:r>
          </w:p>
        </w:tc>
        <w:tc>
          <w:tcPr>
            <w:tcW w:type="dxa" w:w="12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RPO</w:t>
            </w:r>
          </w:p>
        </w:tc>
        <w:tc>
          <w:tcPr>
            <w:tcW w:type="dxa" w:w="259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Dependencies</w:t>
            </w:r>
          </w:p>
        </w:tc>
      </w:tr>
      <w:tr>
        <w:tc>
          <w:tcPr>
            <w:tcW w:type="dxa" w:w="2304"/>
          </w:tcPr>
          <w:p>
            <w:r/>
            <w:r>
              <w:rPr>
                <w:rFonts w:ascii="Arial" w:hAnsi="Arial"/>
                <w:b w:val="0"/>
                <w:sz w:val="16"/>
              </w:rPr>
              <w:t>Payments/treasury</w:t>
            </w:r>
          </w:p>
        </w:tc>
        <w:tc>
          <w:tcPr>
            <w:tcW w:type="dxa" w:w="1584"/>
          </w:tcPr>
          <w:p>
            <w:r/>
            <w:r>
              <w:rPr>
                <w:rFonts w:ascii="Arial" w:hAnsi="Arial"/>
                <w:b w:val="0"/>
                <w:sz w:val="16"/>
              </w:rPr>
              <w:t>Critical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4 hours</w:t>
            </w:r>
          </w:p>
        </w:tc>
        <w:tc>
          <w:tcPr>
            <w:tcW w:type="dxa" w:w="1296"/>
          </w:tcPr>
          <w:p>
            <w:r/>
            <w:r>
              <w:rPr>
                <w:rFonts w:ascii="Arial" w:hAnsi="Arial"/>
                <w:b w:val="0"/>
                <w:sz w:val="16"/>
              </w:rPr>
              <w:t>2 hours</w:t>
            </w:r>
          </w:p>
        </w:tc>
        <w:tc>
          <w:tcPr>
            <w:tcW w:type="dxa" w:w="1296"/>
          </w:tcPr>
          <w:p>
            <w:r/>
            <w:r>
              <w:rPr>
                <w:rFonts w:ascii="Arial" w:hAnsi="Arial"/>
                <w:b w:val="0"/>
                <w:sz w:val="16"/>
              </w:rPr>
              <w:t>15 min</w:t>
            </w:r>
          </w:p>
        </w:tc>
        <w:tc>
          <w:tcPr>
            <w:tcW w:type="dxa" w:w="2592"/>
          </w:tcPr>
          <w:p>
            <w:r/>
            <w:r>
              <w:rPr>
                <w:rFonts w:ascii="Arial" w:hAnsi="Arial"/>
                <w:b w:val="0"/>
                <w:sz w:val="16"/>
              </w:rPr>
              <w:t>Banking, ERP, connectivity</w:t>
            </w:r>
          </w:p>
        </w:tc>
      </w:tr>
      <w:tr>
        <w:tc>
          <w:tcPr>
            <w:tcW w:type="dxa" w:w="230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Order fulfilment</w:t>
            </w:r>
          </w:p>
        </w:tc>
        <w:tc>
          <w:tcPr>
            <w:tcW w:type="dxa" w:w="158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High</w:t>
            </w:r>
          </w:p>
        </w:tc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1 day</w:t>
            </w:r>
          </w:p>
        </w:tc>
        <w:tc>
          <w:tcPr>
            <w:tcW w:type="dxa" w:w="12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8 hours</w:t>
            </w:r>
          </w:p>
        </w:tc>
        <w:tc>
          <w:tcPr>
            <w:tcW w:type="dxa" w:w="12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4 hours</w:t>
            </w:r>
          </w:p>
        </w:tc>
        <w:tc>
          <w:tcPr>
            <w:tcW w:type="dxa" w:w="2592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WMS, logistics</w:t>
            </w:r>
          </w:p>
        </w:tc>
      </w:tr>
      <w:tr>
        <w:tc>
          <w:tcPr>
            <w:tcW w:type="dxa" w:w="2304"/>
          </w:tcPr>
          <w:p>
            <w:r/>
            <w:r>
              <w:rPr>
                <w:rFonts w:ascii="Arial" w:hAnsi="Arial"/>
                <w:b w:val="0"/>
                <w:sz w:val="16"/>
              </w:rPr>
              <w:t>Customer service</w:t>
            </w:r>
          </w:p>
        </w:tc>
        <w:tc>
          <w:tcPr>
            <w:tcW w:type="dxa" w:w="1584"/>
          </w:tcPr>
          <w:p>
            <w:r/>
            <w:r>
              <w:rPr>
                <w:rFonts w:ascii="Arial" w:hAnsi="Arial"/>
                <w:b w:val="0"/>
                <w:sz w:val="16"/>
              </w:rPr>
              <w:t>Medium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2 days</w:t>
            </w:r>
          </w:p>
        </w:tc>
        <w:tc>
          <w:tcPr>
            <w:tcW w:type="dxa" w:w="1296"/>
          </w:tcPr>
          <w:p>
            <w:r/>
            <w:r>
              <w:rPr>
                <w:rFonts w:ascii="Arial" w:hAnsi="Arial"/>
                <w:b w:val="0"/>
                <w:sz w:val="16"/>
              </w:rPr>
              <w:t>1 day</w:t>
            </w:r>
          </w:p>
        </w:tc>
        <w:tc>
          <w:tcPr>
            <w:tcW w:type="dxa" w:w="1296"/>
          </w:tcPr>
          <w:p>
            <w:r/>
            <w:r>
              <w:rPr>
                <w:rFonts w:ascii="Arial" w:hAnsi="Arial"/>
                <w:b w:val="0"/>
                <w:sz w:val="16"/>
              </w:rPr>
              <w:t>1 day</w:t>
            </w:r>
          </w:p>
        </w:tc>
        <w:tc>
          <w:tcPr>
            <w:tcW w:type="dxa" w:w="2592"/>
          </w:tcPr>
          <w:p>
            <w:r/>
            <w:r>
              <w:rPr>
                <w:rFonts w:ascii="Arial" w:hAnsi="Arial"/>
                <w:b w:val="0"/>
                <w:sz w:val="16"/>
              </w:rPr>
              <w:t>Telephony, CRM</w:t>
            </w:r>
          </w:p>
        </w:tc>
      </w:tr>
    </w:tbl>
    <w:p>
      <w:pPr>
        <w:pStyle w:val="Heading2"/>
      </w:pPr>
      <w:r>
        <w:t>2.2 Business Continuity Plan (structure)</w:t>
      </w:r>
    </w:p>
    <w:p>
      <w:pPr>
        <w:pStyle w:val="ListBullet"/>
      </w:pPr>
      <w:r>
        <w:rPr>
          <w:sz w:val="19"/>
        </w:rPr>
        <w:t>Scope &amp; critical processes</w:t>
      </w:r>
    </w:p>
    <w:p>
      <w:pPr>
        <w:pStyle w:val="ListBullet"/>
      </w:pPr>
      <w:r>
        <w:rPr>
          <w:sz w:val="19"/>
        </w:rPr>
        <w:t>Activation triggers &amp; authority</w:t>
      </w:r>
    </w:p>
    <w:p>
      <w:pPr>
        <w:pStyle w:val="ListBullet"/>
      </w:pPr>
      <w:r>
        <w:rPr>
          <w:sz w:val="19"/>
        </w:rPr>
        <w:t>Roles &amp; contact tree</w:t>
      </w:r>
    </w:p>
    <w:p>
      <w:pPr>
        <w:pStyle w:val="ListBullet"/>
      </w:pPr>
      <w:r>
        <w:rPr>
          <w:sz w:val="19"/>
        </w:rPr>
        <w:t>Continuity strategies per process</w:t>
      </w:r>
    </w:p>
    <w:p>
      <w:pPr>
        <w:pStyle w:val="ListBullet"/>
      </w:pPr>
      <w:r>
        <w:rPr>
          <w:sz w:val="19"/>
        </w:rPr>
        <w:t>Recovery steps &amp; RTO/RPO</w:t>
      </w:r>
    </w:p>
    <w:p>
      <w:pPr>
        <w:pStyle w:val="ListBullet"/>
      </w:pPr>
      <w:r>
        <w:rPr>
          <w:sz w:val="19"/>
        </w:rPr>
        <w:t>Communications</w:t>
      </w:r>
    </w:p>
    <w:p>
      <w:pPr>
        <w:pStyle w:val="ListBullet"/>
      </w:pPr>
      <w:r>
        <w:rPr>
          <w:sz w:val="19"/>
        </w:rPr>
        <w:t>Stand-down &amp; review</w:t>
      </w:r>
    </w:p>
    <w:p>
      <w:pPr>
        <w:pStyle w:val="Heading2"/>
      </w:pPr>
      <w:r>
        <w:t>2.3 Exercise &amp; test plan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59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Exercise type</w:t>
            </w:r>
          </w:p>
        </w:tc>
        <w:tc>
          <w:tcPr>
            <w:tcW w:type="dxa" w:w="230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Frequency</w:t>
            </w:r>
          </w:p>
        </w:tc>
        <w:tc>
          <w:tcPr>
            <w:tcW w:type="dxa" w:w="662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Scope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Arial" w:hAnsi="Arial"/>
                <w:b w:val="0"/>
                <w:sz w:val="16"/>
              </w:rPr>
              <w:t>Tabletop</w:t>
            </w:r>
          </w:p>
        </w:tc>
        <w:tc>
          <w:tcPr>
            <w:tcW w:type="dxa" w:w="2304"/>
          </w:tcPr>
          <w:p>
            <w:r/>
            <w:r>
              <w:rPr>
                <w:rFonts w:ascii="Arial" w:hAnsi="Arial"/>
                <w:b w:val="0"/>
                <w:sz w:val="16"/>
              </w:rPr>
              <w:t>Quarterly</w:t>
            </w:r>
          </w:p>
        </w:tc>
        <w:tc>
          <w:tcPr>
            <w:tcW w:type="dxa" w:w="6624"/>
          </w:tcPr>
          <w:p>
            <w:r/>
            <w:r>
              <w:rPr>
                <w:rFonts w:ascii="Arial" w:hAnsi="Arial"/>
                <w:b w:val="0"/>
                <w:sz w:val="16"/>
              </w:rPr>
              <w:t>Scenario walk-through with key roles</w:t>
            </w:r>
          </w:p>
        </w:tc>
      </w:tr>
      <w:tr>
        <w:tc>
          <w:tcPr>
            <w:tcW w:type="dxa" w:w="2592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Functional test</w:t>
            </w:r>
          </w:p>
        </w:tc>
        <w:tc>
          <w:tcPr>
            <w:tcW w:type="dxa" w:w="230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Half-yearly</w:t>
            </w:r>
          </w:p>
        </w:tc>
        <w:tc>
          <w:tcPr>
            <w:tcW w:type="dxa" w:w="662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Test a specific recovery capability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Arial" w:hAnsi="Arial"/>
                <w:b w:val="0"/>
                <w:sz w:val="16"/>
              </w:rPr>
              <w:t>Full simulation</w:t>
            </w:r>
          </w:p>
        </w:tc>
        <w:tc>
          <w:tcPr>
            <w:tcW w:type="dxa" w:w="2304"/>
          </w:tcPr>
          <w:p>
            <w:r/>
            <w:r>
              <w:rPr>
                <w:rFonts w:ascii="Arial" w:hAnsi="Arial"/>
                <w:b w:val="0"/>
                <w:sz w:val="16"/>
              </w:rPr>
              <w:t>Annual</w:t>
            </w:r>
          </w:p>
        </w:tc>
        <w:tc>
          <w:tcPr>
            <w:tcW w:type="dxa" w:w="6624"/>
          </w:tcPr>
          <w:p>
            <w:r/>
            <w:r>
              <w:rPr>
                <w:rFonts w:ascii="Arial" w:hAnsi="Arial"/>
                <w:b w:val="0"/>
                <w:sz w:val="16"/>
              </w:rPr>
              <w:t>End-to-end disruption simulation</w:t>
            </w:r>
          </w:p>
        </w:tc>
      </w:tr>
    </w:tbl>
    <w:p>
      <w:pPr>
        <w:pStyle w:val="Heading1"/>
      </w:pPr>
      <w:r>
        <w:t>3. Registers</w:t>
      </w:r>
    </w:p>
    <w:p>
      <w:r>
        <w:rPr>
          <w:b w:val="0"/>
          <w:i w:val="0"/>
          <w:sz w:val="20"/>
        </w:rPr>
        <w:t>Use the Incident Register (XLSX) to capture disruptions, and track RTO/RPO attainment from exercises in the BIA.</w:t>
      </w:r>
    </w:p>
    <w:p>
      <w:pPr>
        <w:pStyle w:val="Heading1"/>
      </w:pPr>
      <w:r>
        <w:t>4. Checklists</w:t>
      </w:r>
    </w:p>
    <w:p>
      <w:pPr>
        <w:pStyle w:val="Heading2"/>
      </w:pPr>
      <w:r>
        <w:t>BCM readiness checklist</w:t>
      </w:r>
    </w:p>
    <w:p>
      <w:pPr>
        <w:ind w:left="288"/>
      </w:pPr>
      <w:r>
        <w:rPr>
          <w:sz w:val="19"/>
        </w:rPr>
        <w:t>☐  BIA completed for all critical processes</w:t>
      </w:r>
    </w:p>
    <w:p>
      <w:pPr>
        <w:ind w:left="288"/>
      </w:pPr>
      <w:r>
        <w:rPr>
          <w:sz w:val="19"/>
        </w:rPr>
        <w:t>☐  RTO/RPO defined and agreed</w:t>
      </w:r>
    </w:p>
    <w:p>
      <w:pPr>
        <w:ind w:left="288"/>
      </w:pPr>
      <w:r>
        <w:rPr>
          <w:sz w:val="19"/>
        </w:rPr>
        <w:t>☐  Continuity &amp; DR plans documented and current</w:t>
      </w:r>
    </w:p>
    <w:p>
      <w:pPr>
        <w:ind w:left="288"/>
      </w:pPr>
      <w:r>
        <w:rPr>
          <w:sz w:val="19"/>
        </w:rPr>
        <w:t>☐  Contact trees up to date</w:t>
      </w:r>
    </w:p>
    <w:p>
      <w:pPr>
        <w:ind w:left="288"/>
      </w:pPr>
      <w:r>
        <w:rPr>
          <w:sz w:val="19"/>
        </w:rPr>
        <w:t>☐  Plans exercised on schedule</w:t>
      </w:r>
    </w:p>
    <w:p>
      <w:pPr>
        <w:ind w:left="288"/>
      </w:pPr>
      <w:r>
        <w:rPr>
          <w:sz w:val="19"/>
        </w:rPr>
        <w:t>☐  Recovery capabilities tested</w:t>
      </w:r>
    </w:p>
    <w:p>
      <w:pPr>
        <w:ind w:left="288"/>
      </w:pPr>
      <w:r>
        <w:rPr>
          <w:sz w:val="19"/>
        </w:rPr>
        <w:t>☐  Third-party continuity dependencies addressed</w:t>
      </w:r>
    </w:p>
    <w:p>
      <w:pPr>
        <w:ind w:left="288"/>
      </w:pPr>
      <w:r>
        <w:rPr>
          <w:sz w:val="19"/>
        </w:rPr>
        <w:t>☐  Governance and review in place</w:t>
      </w:r>
    </w:p>
    <w:p>
      <w:pPr>
        <w:pStyle w:val="Heading2"/>
      </w:pPr>
      <w:r>
        <w:t>Governance Structure</w:t>
      </w:r>
    </w:p>
    <w:p>
      <w:r>
        <w:rPr>
          <w:b w:val="0"/>
          <w:i w:val="0"/>
          <w:sz w:val="20"/>
        </w:rPr>
        <w:t>Risk is governed through three lines of defence under board oversight: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73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Layer</w:t>
            </w:r>
          </w:p>
        </w:tc>
        <w:tc>
          <w:tcPr>
            <w:tcW w:type="dxa" w:w="244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Role</w:t>
            </w:r>
          </w:p>
        </w:tc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Responsibility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Board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Oversight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Approves policy, appetite; oversees the risk profile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Risk / Audit Committee</w:t>
            </w:r>
          </w:p>
        </w:tc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Focused oversight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Reviews top risks, appetite, assurance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1st line — Management/owners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Own &amp; manage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Identify, assess, control and report risk in operations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2nd line — Risk/Compliance</w:t>
            </w:r>
          </w:p>
        </w:tc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Oversee &amp; challenge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Set framework, monitor, challenge, aggregate reporting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3rd line — Internal Audit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Assure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Independent assurance over the risk and control system</w:t>
            </w:r>
          </w:p>
        </w:tc>
      </w:tr>
    </w:tbl>
    <w:p>
      <w:pPr>
        <w:pStyle w:val="Heading2"/>
      </w:pPr>
      <w:r>
        <w:t>Reporting Templates</w:t>
      </w:r>
    </w:p>
    <w:p>
      <w:pPr>
        <w:pStyle w:val="Heading3"/>
      </w:pPr>
      <w:r>
        <w:t>Standard continuity report structure</w:t>
      </w:r>
    </w:p>
    <w:p>
      <w:pPr>
        <w:pStyle w:val="ListBullet"/>
      </w:pPr>
      <w:r>
        <w:rPr>
          <w:sz w:val="19"/>
        </w:rPr>
        <w:t>Executive summary &amp; key messages</w:t>
      </w:r>
    </w:p>
    <w:p>
      <w:pPr>
        <w:pStyle w:val="ListBullet"/>
      </w:pPr>
      <w:r>
        <w:rPr>
          <w:sz w:val="19"/>
        </w:rPr>
        <w:t>Profile vs appetite (RAG)</w:t>
      </w:r>
    </w:p>
    <w:p>
      <w:pPr>
        <w:pStyle w:val="ListBullet"/>
      </w:pPr>
      <w:r>
        <w:rPr>
          <w:sz w:val="19"/>
        </w:rPr>
        <w:t>Top risks &amp; movement</w:t>
      </w:r>
    </w:p>
    <w:p>
      <w:pPr>
        <w:pStyle w:val="ListBullet"/>
      </w:pPr>
      <w:r>
        <w:rPr>
          <w:sz w:val="19"/>
        </w:rPr>
        <w:t>KRIs and breaches</w:t>
      </w:r>
    </w:p>
    <w:p>
      <w:pPr>
        <w:pStyle w:val="ListBullet"/>
      </w:pPr>
      <w:r>
        <w:rPr>
          <w:sz w:val="19"/>
        </w:rPr>
        <w:t>Incidents &amp; losses in period</w:t>
      </w:r>
    </w:p>
    <w:p>
      <w:pPr>
        <w:pStyle w:val="ListBullet"/>
      </w:pPr>
      <w:r>
        <w:rPr>
          <w:sz w:val="19"/>
        </w:rPr>
        <w:t>Actions &amp; overdue items</w:t>
      </w:r>
    </w:p>
    <w:p>
      <w:pPr>
        <w:pStyle w:val="ListBullet"/>
      </w:pPr>
      <w:r>
        <w:rPr>
          <w:sz w:val="19"/>
        </w:rPr>
        <w:t>Decisions / escalations sought</w:t>
      </w:r>
    </w:p>
    <w:p>
      <w:pPr>
        <w:pStyle w:val="Heading3"/>
      </w:pPr>
      <w:r>
        <w:t>KRI reporting table (example)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32"/>
        <w:gridCol w:w="1632"/>
        <w:gridCol w:w="1632"/>
        <w:gridCol w:w="1632"/>
        <w:gridCol w:w="1632"/>
        <w:gridCol w:w="1632"/>
      </w:tblGrid>
      <w:tr>
        <w:tc>
          <w:tcPr>
            <w:tcW w:type="dxa" w:w="288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KRI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Current</w:t>
            </w:r>
          </w:p>
        </w:tc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Threshold</w:t>
            </w:r>
          </w:p>
        </w:tc>
        <w:tc>
          <w:tcPr>
            <w:tcW w:type="dxa" w:w="115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RAG</w:t>
            </w:r>
          </w:p>
        </w:tc>
        <w:tc>
          <w:tcPr>
            <w:tcW w:type="dxa" w:w="12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Trend</w:t>
            </w:r>
          </w:p>
        </w:tc>
        <w:tc>
          <w:tcPr>
            <w:tcW w:type="dxa" w:w="302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Action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Critical plans current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100%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100%</w:t>
            </w:r>
          </w:p>
        </w:tc>
        <w:tc>
          <w:tcPr>
            <w:tcW w:type="dxa" w:w="1152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1296"/>
          </w:tcPr>
          <w:p>
            <w:r/>
            <w:r>
              <w:rPr>
                <w:rFonts w:ascii="Arial" w:hAnsi="Arial"/>
                <w:b w:val="0"/>
                <w:sz w:val="16"/>
              </w:rPr>
              <w:t>Stable</w:t>
            </w:r>
          </w:p>
        </w:tc>
        <w:tc>
          <w:tcPr>
            <w:tcW w:type="dxa" w:w="3024"/>
          </w:tcPr>
          <w:p>
            <w:r/>
            <w:r>
              <w:rPr>
                <w:rFonts w:ascii="Arial" w:hAnsi="Arial"/>
                <w:b w:val="0"/>
                <w:sz w:val="16"/>
              </w:rPr>
              <w:t>Maintain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Plans exercised (period)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80%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100%</w:t>
            </w:r>
          </w:p>
        </w:tc>
        <w:tc>
          <w:tcPr>
            <w:tcW w:type="dxa" w:w="1152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12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Up</w:t>
            </w:r>
          </w:p>
        </w:tc>
        <w:tc>
          <w:tcPr>
            <w:tcW w:type="dxa" w:w="302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Schedule remaining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RTO/RPO attainment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Meets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Meets</w:t>
            </w:r>
          </w:p>
        </w:tc>
        <w:tc>
          <w:tcPr>
            <w:tcW w:type="dxa" w:w="1152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1296"/>
          </w:tcPr>
          <w:p>
            <w:r/>
            <w:r>
              <w:rPr>
                <w:rFonts w:ascii="Arial" w:hAnsi="Arial"/>
                <w:b w:val="0"/>
                <w:sz w:val="16"/>
              </w:rPr>
              <w:t>Stable</w:t>
            </w:r>
          </w:p>
        </w:tc>
        <w:tc>
          <w:tcPr>
            <w:tcW w:type="dxa" w:w="3024"/>
          </w:tcPr>
          <w:p>
            <w:r/>
            <w:r>
              <w:rPr>
                <w:rFonts w:ascii="Arial" w:hAnsi="Arial"/>
                <w:b w:val="0"/>
                <w:sz w:val="16"/>
              </w:rPr>
              <w:t>Maintain</w:t>
            </w:r>
          </w:p>
        </w:tc>
      </w:tr>
    </w:tbl>
    <w:p>
      <w:pPr>
        <w:pStyle w:val="Heading2"/>
      </w:pPr>
      <w:r>
        <w:t>Board Reporting Example</w:t>
      </w:r>
    </w:p>
    <w:p>
      <w:r>
        <w:rPr>
          <w:b w:val="0"/>
          <w:i/>
          <w:sz w:val="19"/>
        </w:rPr>
        <w:t>Illustrative one-page board summary (replace with live data):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73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Item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Status</w:t>
            </w:r>
          </w:p>
        </w:tc>
        <w:tc>
          <w:tcPr>
            <w:tcW w:type="dxa" w:w="73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Commentary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Continuity readiness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All critical plans current; 80% exercised this period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Recovery capability</w:t>
            </w:r>
          </w:p>
        </w:tc>
        <w:tc>
          <w:tcPr>
            <w:tcW w:type="dxa" w:w="1440"/>
            <w:shd w:val="clear" w:fill="F4F7FB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Last test met RTO/RPO targets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Gaps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One vendor lacks a continuity commitment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Decisions sought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—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Note plan; approve continuity clause in vendor contracts</w:t>
            </w:r>
          </w:p>
        </w:tc>
      </w:tr>
    </w:tbl>
    <w:p>
      <w:pPr>
        <w:pStyle w:val="Heading2"/>
      </w:pPr>
      <w:r>
        <w:t>Disclaimer</w:t>
      </w:r>
    </w:p>
    <w:p>
      <w:r>
        <w:rPr>
          <w:b w:val="0"/>
          <w:i/>
          <w:sz w:val="18"/>
        </w:rPr>
        <w:t>This toolkit is a professional management resource, not legal, regulatory or audit advice. Calibrate scoring scales, appetite, limits and governance to your organisation, sector and applicable regulation. Sector-specific requirements (e.g. prudential, data-protection, HSE) must be confirmed against current local regulation.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0243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B4D8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B4D89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