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Treasury Committee Pack</w:t>
      </w:r>
    </w:p>
    <w:p>
      <w:r>
        <w:rPr>
          <w:rFonts w:ascii="Arial" w:hAnsi="Arial"/>
          <w:b/>
          <w:sz w:val="22"/>
        </w:rPr>
        <w:t>Board Pack · Board Finance Reporting · Enterprise tier</w:t>
      </w:r>
    </w:p>
    <w:p>
      <w:r>
        <w:rPr>
          <w:rFonts w:ascii="Arial" w:hAnsi="Arial"/>
          <w:sz w:val="22"/>
        </w:rPr>
        <w:t>Monthly treasury committee pack template.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Cash, liquidity, debt, FX, IR and operations sections with KPI cards and decisions log.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ListBullet"/>
      </w:pPr>
      <w:r>
        <w:rPr>
          <w:rFonts w:ascii="Arial" w:hAnsi="Arial"/>
          <w:sz w:val="22"/>
        </w:rPr>
        <w:t>ALCO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Pages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Executive summary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Financial performance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FP&amp;A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Cash &amp; liquidity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Capital &amp; funding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Risk &amp; outlook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Treasury committee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