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Effectiveness Toolkit</w:t>
      </w:r>
    </w:p>
    <w:p>
      <w:r>
        <w:rPr>
          <w:i/>
          <w:color w:val="445577"/>
        </w:rPr>
        <w:t>Outliers Board Excellence Centre™ | Board Excellence Resource</w:t>
      </w:r>
    </w:p>
    <w:p/>
    <w:p>
      <w:pPr>
        <w:pStyle w:val="Heading1"/>
      </w:pPr>
      <w:r>
        <w:t>Purpose</w:t>
      </w:r>
    </w:p>
    <w:p>
      <w:r>
        <w:t>Board Effectiveness Toolkit provides an end-to-end toolkit for boards and committees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Effectiveness Toolkit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Dimension</w:t>
            </w:r>
          </w:p>
        </w:tc>
        <w:tc>
          <w:tcPr>
            <w:tcW w:type="dxa" w:w="1440"/>
          </w:tcPr>
          <w:p>
            <w:r>
              <w:rPr>
                <w:b/>
              </w:rPr>
              <w:t>Score (1-5)</w:t>
            </w:r>
          </w:p>
        </w:tc>
        <w:tc>
          <w:tcPr>
            <w:tcW w:type="dxa" w:w="1440"/>
          </w:tcPr>
          <w:p>
            <w:r>
              <w:rPr>
                <w:b/>
              </w:rPr>
              <w:t>Evidence</w:t>
            </w:r>
          </w:p>
        </w:tc>
        <w:tc>
          <w:tcPr>
            <w:tcW w:type="dxa" w:w="1440"/>
          </w:tcPr>
          <w:p>
            <w:r>
              <w:rPr>
                <w:b/>
              </w:rPr>
              <w:t>Improvement Action</w:t>
            </w:r>
          </w:p>
        </w:tc>
        <w:tc>
          <w:tcPr>
            <w:tcW w:type="dxa" w:w="1440"/>
          </w:tcPr>
          <w:p>
            <w:r>
              <w:rPr>
                <w:b/>
              </w:rPr>
              <w:t>Owner</w:t>
            </w:r>
          </w:p>
        </w:tc>
        <w:tc>
          <w:tcPr>
            <w:tcW w:type="dxa" w:w="1440"/>
          </w:tcPr>
          <w:p>
            <w:r>
              <w:rPr>
                <w:b/>
              </w:rPr>
              <w:t>Due</w:t>
            </w:r>
          </w:p>
        </w:tc>
      </w:tr>
      <w:tr>
        <w:tc>
          <w:tcPr>
            <w:tcW w:type="dxa" w:w="1440"/>
          </w:tcPr>
          <w:p>
            <w:r>
              <w:t>Strategy oversight</w:t>
            </w:r>
          </w:p>
        </w:tc>
        <w:tc>
          <w:tcPr>
            <w:tcW w:type="dxa" w:w="1440"/>
          </w:tcPr>
          <w:p>
            <w:r>
              <w:t>4</w:t>
            </w:r>
          </w:p>
        </w:tc>
        <w:tc>
          <w:tcPr>
            <w:tcW w:type="dxa" w:w="1440"/>
          </w:tcPr>
          <w:p>
            <w:r>
              <w:t>Annual strategy day held</w:t>
            </w:r>
          </w:p>
        </w:tc>
        <w:tc>
          <w:tcPr>
            <w:tcW w:type="dxa" w:w="1440"/>
          </w:tcPr>
          <w:p>
            <w:r>
              <w:t>Quarterly KPI review</w:t>
            </w:r>
          </w:p>
        </w:tc>
        <w:tc>
          <w:tcPr>
            <w:tcW w:type="dxa" w:w="1440"/>
          </w:tcPr>
          <w:p>
            <w:r>
              <w:t>Chair</w:t>
            </w:r>
          </w:p>
        </w:tc>
        <w:tc>
          <w:tcPr>
            <w:tcW w:type="dxa" w:w="1440"/>
          </w:tcPr>
          <w:p>
            <w:r>
              <w:t>Q2</w:t>
            </w:r>
          </w:p>
        </w:tc>
      </w:tr>
      <w:tr>
        <w:tc>
          <w:tcPr>
            <w:tcW w:type="dxa" w:w="1440"/>
          </w:tcPr>
          <w:p>
            <w:r>
              <w:t>Risk oversight</w:t>
            </w:r>
          </w:p>
        </w:tc>
        <w:tc>
          <w:tcPr>
            <w:tcW w:type="dxa" w:w="1440"/>
          </w:tcPr>
          <w:p>
            <w:r>
              <w:t>3</w:t>
            </w:r>
          </w:p>
        </w:tc>
        <w:tc>
          <w:tcPr>
            <w:tcW w:type="dxa" w:w="1440"/>
          </w:tcPr>
          <w:p>
            <w:r>
              <w:t>Risk committee active</w:t>
            </w:r>
          </w:p>
        </w:tc>
        <w:tc>
          <w:tcPr>
            <w:tcW w:type="dxa" w:w="1440"/>
          </w:tcPr>
          <w:p>
            <w:r>
              <w:t>Refresh risk appetite</w:t>
            </w:r>
          </w:p>
        </w:tc>
        <w:tc>
          <w:tcPr>
            <w:tcW w:type="dxa" w:w="1440"/>
          </w:tcPr>
          <w:p>
            <w:r>
              <w:t>CRO</w:t>
            </w:r>
          </w:p>
        </w:tc>
        <w:tc>
          <w:tcPr>
            <w:tcW w:type="dxa" w:w="1440"/>
          </w:tcPr>
          <w:p>
            <w:r>
              <w:t>Q1</w:t>
            </w:r>
          </w:p>
        </w:tc>
      </w:tr>
      <w:tr>
        <w:tc>
          <w:tcPr>
            <w:tcW w:type="dxa" w:w="1440"/>
          </w:tcPr>
          <w:p>
            <w:r>
              <w:t>Composition</w:t>
            </w:r>
          </w:p>
        </w:tc>
        <w:tc>
          <w:tcPr>
            <w:tcW w:type="dxa" w:w="1440"/>
          </w:tcPr>
          <w:p>
            <w:r>
              <w:t>4</w:t>
            </w:r>
          </w:p>
        </w:tc>
        <w:tc>
          <w:tcPr>
            <w:tcW w:type="dxa" w:w="1440"/>
          </w:tcPr>
          <w:p>
            <w:r>
              <w:t>Skills matrix in place</w:t>
            </w:r>
          </w:p>
        </w:tc>
        <w:tc>
          <w:tcPr>
            <w:tcW w:type="dxa" w:w="1440"/>
          </w:tcPr>
          <w:p>
            <w:r>
              <w:t>Add cyber expertise</w:t>
            </w:r>
          </w:p>
        </w:tc>
        <w:tc>
          <w:tcPr>
            <w:tcW w:type="dxa" w:w="1440"/>
          </w:tcPr>
          <w:p>
            <w:r>
              <w:t>NomCo</w:t>
            </w:r>
          </w:p>
        </w:tc>
        <w:tc>
          <w:tcPr>
            <w:tcW w:type="dxa" w:w="1440"/>
          </w:tcPr>
          <w:p>
            <w:r>
              <w:t>Q3</w:t>
            </w:r>
          </w:p>
        </w:tc>
      </w:tr>
      <w:tr>
        <w:tc>
          <w:tcPr>
            <w:tcW w:type="dxa" w:w="1440"/>
          </w:tcPr>
          <w:p>
            <w:r>
              <w:t>Culture</w:t>
            </w:r>
          </w:p>
        </w:tc>
        <w:tc>
          <w:tcPr>
            <w:tcW w:type="dxa" w:w="1440"/>
          </w:tcPr>
          <w:p>
            <w:r>
              <w:t>4</w:t>
            </w:r>
          </w:p>
        </w:tc>
        <w:tc>
          <w:tcPr>
            <w:tcW w:type="dxa" w:w="1440"/>
          </w:tcPr>
          <w:p>
            <w:r>
              <w:t>Board values declared</w:t>
            </w:r>
          </w:p>
        </w:tc>
        <w:tc>
          <w:tcPr>
            <w:tcW w:type="dxa" w:w="1440"/>
          </w:tcPr>
          <w:p>
            <w:r>
              <w:t>Annual culture pulse</w:t>
            </w:r>
          </w:p>
        </w:tc>
        <w:tc>
          <w:tcPr>
            <w:tcW w:type="dxa" w:w="1440"/>
          </w:tcPr>
          <w:p>
            <w:r>
              <w:t>CoSec</w:t>
            </w:r>
          </w:p>
        </w:tc>
        <w:tc>
          <w:tcPr>
            <w:tcW w:type="dxa" w:w="1440"/>
          </w:tcPr>
          <w:p>
            <w:r>
              <w:t>Q2</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