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Model Validation Report Template</w:t>
      </w:r>
    </w:p>
    <w:p>
      <w:r>
        <w:rPr>
          <w:i/>
          <w:color w:val="555555"/>
        </w:rPr>
        <w:t>Outliers Professionals — Data &amp; AI Centre™ · Template · Professional</w:t>
      </w:r>
    </w:p>
    <w:p>
      <w:r>
        <w:t>Resource ID: res_model_validation_report_template    |    Audience: Data/AI &amp; business leaders</w:t>
      </w:r>
    </w:p>
    <w:p/>
    <w:p>
      <w:pPr>
        <w:pStyle w:val="Heading1"/>
      </w:pPr>
      <w:r>
        <w:t>Purpose</w:t>
      </w:r>
    </w:p>
    <w:p>
      <w:r>
        <w:t>This template — Model Validation Report Template — establishes the standards, controls and operating expectations required to deliver trusted, governed and value-creating data and AI outcomes across the enterprise. It is part of the Outliers Professionals Data &amp; AI Centre™ catalogue and aligns with NDPR/NDPA, ISO/IEC 27001, ISO/IEC 23894 (AI risk), ISO/IEC 42001 (AI management), NIST AI RMF, EU AI Act tiering principles, DAMA-DMBOK and CDMC.</w:t>
      </w:r>
    </w:p>
    <w:p>
      <w:pPr>
        <w:pStyle w:val="Heading1"/>
      </w:pPr>
      <w:r>
        <w:t>Who Should Use It</w:t>
      </w:r>
    </w:p>
    <w:p>
      <w:r>
        <w:t>Audience: Data/AI &amp; business leaders. Typical users include the Chief Data Officer, Chief AI Officer, Head of Analytics, Data Governance Council, Data Stewards, Model Risk Officers, CISO, DPO, Internal Audit, Risk &amp; Compliance, and accountable business owners of data domains and AI use cases.</w:t>
      </w:r>
    </w:p>
    <w:p>
      <w:pPr>
        <w:pStyle w:val="Heading1"/>
      </w:pPr>
      <w:r>
        <w:t>When To Use It</w:t>
      </w:r>
    </w:p>
    <w:p>
      <w:r>
        <w:t>Use at programme inception, during annual policy refresh, when on-boarding a new data domain, when proposing a new AI/ML use case, at every model lifecycle gate (intake → build → validation → deployment → monitoring → retirement), during regulatory or audit reviews, and when reporting to the Board Data &amp; AI / Risk Committee.</w:t>
      </w:r>
    </w:p>
    <w:p>
      <w:pPr>
        <w:pStyle w:val="Heading1"/>
      </w:pPr>
      <w:r>
        <w:t>Step-by-Step Usage Guide</w:t>
      </w:r>
    </w:p>
    <w:p>
      <w:r>
        <w:t>1. Confirm scope and accountable owner.</w:t>
      </w:r>
    </w:p>
    <w:p>
      <w:r>
        <w:t>2. Inventory existing artefacts, data domains, models, prompts and decisions in-scope.</w:t>
      </w:r>
    </w:p>
    <w:p>
      <w:r>
        <w:t>3. Map applicable obligations (NDPA, sectoral regulators, internal policy).</w:t>
      </w:r>
    </w:p>
    <w:p>
      <w:r>
        <w:t>4. Complete each working section in this document with enterprise-specific evidence.</w:t>
      </w:r>
    </w:p>
    <w:p>
      <w:r>
        <w:t>5. Calibrate risk tiers, controls and approval gates using the Outliers Data &amp; AI tiering ladder (Tier 1 informational → Tier 4 high-risk autonomous).</w:t>
      </w:r>
    </w:p>
    <w:p>
      <w:r>
        <w:t>6. Route the draft through Data Governance Council → Model Risk → Legal/DPO → Internal Audit.</w:t>
      </w:r>
    </w:p>
    <w:p>
      <w:r>
        <w:t>7. Obtain executive approval and version-control the final artefact in the Data &amp; AI evidence room.</w:t>
      </w:r>
    </w:p>
    <w:p>
      <w:r>
        <w:t>8. Schedule the next review (default: annual; quarterly for Tier 3/4 models).</w:t>
      </w:r>
    </w:p>
    <w:p>
      <w:pPr>
        <w:pStyle w:val="Heading1"/>
      </w:pPr>
      <w:r>
        <w:t>Governance &amp; Control Considerations</w:t>
      </w:r>
    </w:p>
    <w:p>
      <w:r>
        <w:t>• Three-lines accountability: business owner (1LoD), Data Governance &amp; Model Risk (2LoD), Internal Audit (3LoD).</w:t>
      </w:r>
    </w:p>
    <w:p>
      <w:r>
        <w:t>• Data quality dimensions: accuracy, completeness, consistency, timeliness, validity, uniqueness — each rule logged in the Data Quality Rules Library.</w:t>
      </w:r>
    </w:p>
    <w:p>
      <w:r>
        <w:t>• Model controls: documented purpose, training data lineage, validation, bias/fairness testing, explainability, human-in-the-loop, monitoring and drift thresholds.</w:t>
      </w:r>
    </w:p>
    <w:p>
      <w:r>
        <w:t>• Privacy: NDPA lawful basis, DPIA where required, minimisation, retention, cross-border transfer assessment.</w:t>
      </w:r>
    </w:p>
    <w:p>
      <w:r>
        <w:t>• Security: classification (Public / Internal / Confidential / Restricted), encryption in transit and at rest, access reviews, secrets management.</w:t>
      </w:r>
    </w:p>
    <w:p>
      <w:r>
        <w:t>• Prompt &amp; GenAI controls: prompt logging, sensitive-data redaction, jailbreak monitoring, vendor due-diligence, output review thresholds.</w:t>
      </w:r>
    </w:p>
    <w:p>
      <w:pPr>
        <w:pStyle w:val="Heading1"/>
      </w:pPr>
      <w:r>
        <w:t>Review &amp; Approval Workflow</w:t>
      </w:r>
    </w:p>
    <w:p>
      <w:r>
        <w:t>Draft → Data Governance Council review → Model Risk validation (if AI) → DPO/Legal sign-off → Executive Data &amp; AI Committee approval → Board Data &amp; AI Committee noting. Sign-offs captured in the approval register with date, version and rationale. Material changes trigger re-approval; minor edits logged as point releases.</w:t>
      </w:r>
    </w:p>
    <w:p>
      <w:pPr>
        <w:pStyle w:val="Heading1"/>
      </w:pPr>
      <w:r>
        <w:t>Implementation Notes</w:t>
      </w:r>
    </w:p>
    <w:p>
      <w:r>
        <w:t>• Embed obligations into the SDLC / MLOps pipeline as policy-as-code checks where feasible.</w:t>
      </w:r>
    </w:p>
    <w:p>
      <w:r>
        <w:t>• Pair every Tier 3/4 AI use case with a Model Card and a live Drift Log.</w:t>
      </w:r>
    </w:p>
    <w:p>
      <w:r>
        <w:t>• Wire dashboards to the canonical KPI library: data quality index, model performance, drift incidents, privacy incidents, AI value-tracking.</w:t>
      </w:r>
    </w:p>
    <w:p>
      <w:r>
        <w:t>• Provide role-specific enablement (executive, manager, practitioner, end-user) before go-live.</w:t>
      </w:r>
    </w:p>
    <w:p>
      <w:r>
        <w:t>• Run an annual Data &amp; AI maturity assessment to recalibrate priorities.</w:t>
      </w:r>
    </w:p>
    <w:p>
      <w:pPr>
        <w:pStyle w:val="Heading1"/>
      </w:pPr>
      <w:r>
        <w:t>Sample Working Template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rPr>
                <w:b/>
              </w:rPr>
              <w:t>Model ID</w:t>
            </w:r>
          </w:p>
        </w:tc>
        <w:tc>
          <w:tcPr>
            <w:tcW w:type="dxa" w:w="1234"/>
          </w:tcPr>
          <w:p>
            <w:r>
              <w:rPr>
                <w:b/>
              </w:rPr>
              <w:t>Use Case</w:t>
            </w:r>
          </w:p>
        </w:tc>
        <w:tc>
          <w:tcPr>
            <w:tcW w:type="dxa" w:w="1234"/>
          </w:tcPr>
          <w:p>
            <w:r>
              <w:rPr>
                <w:b/>
              </w:rPr>
              <w:t>Risk Tier</w:t>
            </w:r>
          </w:p>
        </w:tc>
        <w:tc>
          <w:tcPr>
            <w:tcW w:type="dxa" w:w="1234"/>
          </w:tcPr>
          <w:p>
            <w:r>
              <w:rPr>
                <w:b/>
              </w:rPr>
              <w:t>Owner</w:t>
            </w:r>
          </w:p>
        </w:tc>
        <w:tc>
          <w:tcPr>
            <w:tcW w:type="dxa" w:w="1234"/>
          </w:tcPr>
          <w:p>
            <w:r>
              <w:rPr>
                <w:b/>
              </w:rPr>
              <w:t>Last Validation</w:t>
            </w:r>
          </w:p>
        </w:tc>
        <w:tc>
          <w:tcPr>
            <w:tcW w:type="dxa" w:w="1234"/>
          </w:tcPr>
          <w:p>
            <w:r>
              <w:rPr>
                <w:b/>
              </w:rPr>
              <w:t>Drift Status</w:t>
            </w:r>
          </w:p>
        </w:tc>
        <w:tc>
          <w:tcPr>
            <w:tcW w:type="dxa" w:w="1234"/>
          </w:tcPr>
          <w:p>
            <w:r>
              <w:rPr>
                <w:b/>
              </w:rPr>
              <w:t>Action</w:t>
            </w:r>
          </w:p>
        </w:tc>
      </w:tr>
      <w:tr>
        <w:tc>
          <w:tcPr>
            <w:tcW w:type="dxa" w:w="1234"/>
          </w:tcPr>
          <w:p>
            <w:r>
              <w:t>MDL-001</w:t>
            </w:r>
          </w:p>
        </w:tc>
        <w:tc>
          <w:tcPr>
            <w:tcW w:type="dxa" w:w="1234"/>
          </w:tcPr>
          <w:p>
            <w:r>
              <w:t>Credit scoring</w:t>
            </w:r>
          </w:p>
        </w:tc>
        <w:tc>
          <w:tcPr>
            <w:tcW w:type="dxa" w:w="1234"/>
          </w:tcPr>
          <w:p>
            <w:r>
              <w:t>Tier 4 — High</w:t>
            </w:r>
          </w:p>
        </w:tc>
        <w:tc>
          <w:tcPr>
            <w:tcW w:type="dxa" w:w="1234"/>
          </w:tcPr>
          <w:p>
            <w:r>
              <w:t>Risk Analytics</w:t>
            </w:r>
          </w:p>
        </w:tc>
        <w:tc>
          <w:tcPr>
            <w:tcW w:type="dxa" w:w="1234"/>
          </w:tcPr>
          <w:p>
            <w:r>
              <w:t>2026-04-12</w:t>
            </w:r>
          </w:p>
        </w:tc>
        <w:tc>
          <w:tcPr>
            <w:tcW w:type="dxa" w:w="1234"/>
          </w:tcPr>
          <w:p>
            <w:r>
              <w:t>Within bounds</w:t>
            </w:r>
          </w:p>
        </w:tc>
        <w:tc>
          <w:tcPr>
            <w:tcW w:type="dxa" w:w="1234"/>
          </w:tcPr>
          <w:p>
            <w:r>
              <w:t>Quarterly review</w:t>
            </w:r>
          </w:p>
        </w:tc>
      </w:tr>
      <w:tr>
        <w:tc>
          <w:tcPr>
            <w:tcW w:type="dxa" w:w="1234"/>
          </w:tcPr>
          <w:p>
            <w:r>
              <w:t>MDL-014</w:t>
            </w:r>
          </w:p>
        </w:tc>
        <w:tc>
          <w:tcPr>
            <w:tcW w:type="dxa" w:w="1234"/>
          </w:tcPr>
          <w:p>
            <w:r>
              <w:t>Customer churn</w:t>
            </w:r>
          </w:p>
        </w:tc>
        <w:tc>
          <w:tcPr>
            <w:tcW w:type="dxa" w:w="1234"/>
          </w:tcPr>
          <w:p>
            <w:r>
              <w:t>Tier 3</w:t>
            </w:r>
          </w:p>
        </w:tc>
        <w:tc>
          <w:tcPr>
            <w:tcW w:type="dxa" w:w="1234"/>
          </w:tcPr>
          <w:p>
            <w:r>
              <w:t>Marketing</w:t>
            </w:r>
          </w:p>
        </w:tc>
        <w:tc>
          <w:tcPr>
            <w:tcW w:type="dxa" w:w="1234"/>
          </w:tcPr>
          <w:p>
            <w:r>
              <w:t>2026-03-30</w:t>
            </w:r>
          </w:p>
        </w:tc>
        <w:tc>
          <w:tcPr>
            <w:tcW w:type="dxa" w:w="1234"/>
          </w:tcPr>
          <w:p>
            <w:r>
              <w:t>Yellow — PSI 0.18</w:t>
            </w:r>
          </w:p>
        </w:tc>
        <w:tc>
          <w:tcPr>
            <w:tcW w:type="dxa" w:w="1234"/>
          </w:tcPr>
          <w:p>
            <w:r>
              <w:t>Re-train</w:t>
            </w:r>
          </w:p>
        </w:tc>
      </w:tr>
      <w:tr>
        <w:tc>
          <w:tcPr>
            <w:tcW w:type="dxa" w:w="1234"/>
          </w:tcPr>
          <w:p>
            <w:r>
              <w:t>MDL-027</w:t>
            </w:r>
          </w:p>
        </w:tc>
        <w:tc>
          <w:tcPr>
            <w:tcW w:type="dxa" w:w="1234"/>
          </w:tcPr>
          <w:p>
            <w:r>
              <w:t>Fraud triage</w:t>
            </w:r>
          </w:p>
        </w:tc>
        <w:tc>
          <w:tcPr>
            <w:tcW w:type="dxa" w:w="1234"/>
          </w:tcPr>
          <w:p>
            <w:r>
              <w:t>Tier 4 — High</w:t>
            </w:r>
          </w:p>
        </w:tc>
        <w:tc>
          <w:tcPr>
            <w:tcW w:type="dxa" w:w="1234"/>
          </w:tcPr>
          <w:p>
            <w:r>
              <w:t>Fraud Ops</w:t>
            </w:r>
          </w:p>
        </w:tc>
        <w:tc>
          <w:tcPr>
            <w:tcW w:type="dxa" w:w="1234"/>
          </w:tcPr>
          <w:p>
            <w:r>
              <w:t>2026-05-08</w:t>
            </w:r>
          </w:p>
        </w:tc>
        <w:tc>
          <w:tcPr>
            <w:tcW w:type="dxa" w:w="1234"/>
          </w:tcPr>
          <w:p>
            <w:r>
              <w:t>Green</w:t>
            </w:r>
          </w:p>
        </w:tc>
        <w:tc>
          <w:tcPr>
            <w:tcW w:type="dxa" w:w="1234"/>
          </w:tcPr>
          <w:p>
            <w:r>
              <w:t>Continue</w:t>
            </w:r>
          </w:p>
        </w:tc>
      </w:tr>
    </w:tbl>
    <w:p/>
    <w:p>
      <w:r>
        <w:t>© Outliers Professionals. For internal use under the Data &amp; AI Centre™ licence. Customise to your enterprise before adoption.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