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Quarterly Controls Assurance Report</w:t>
      </w:r>
    </w:p>
    <w:p>
      <w:pPr>
        <w:jc w:val="center"/>
      </w:pPr>
      <w:r>
        <w:rPr>
          <w:color w:val="C97B2C"/>
          <w:sz w:val="26"/>
        </w:rPr>
        <w:t>Quarterly assurance over the control environment</w:t>
      </w:r>
    </w:p>
    <w:p/>
    <w:p/>
    <w:p>
      <w:pPr>
        <w:jc w:val="center"/>
      </w:pPr>
      <w:r>
        <w:rPr>
          <w:color w:val="555555"/>
          <w:sz w:val="20"/>
        </w:rPr>
        <w:t>Audit Committee / Internal Audit  ·  Flagship Edition 2026</w:t>
      </w:r>
    </w:p>
    <w:p>
      <w:pPr>
        <w:jc w:val="center"/>
      </w:pPr>
      <w:r>
        <w:rPr>
          <w:i/>
          <w:color w:val="555555"/>
          <w:sz w:val="18"/>
        </w:rPr>
        <w:t>Outliers Professionals Ltd — Internal Control Centre Resource Library</w:t>
      </w:r>
    </w:p>
    <w:p>
      <w:r>
        <w:br w:type="page"/>
      </w:r>
    </w:p>
    <w:p>
      <w:pPr>
        <w:pStyle w:val="Heading1"/>
      </w:pPr>
      <w:r>
        <w:t>Quarterly Controls Assurance Report — [Quarter / Year]</w:t>
      </w:r>
    </w:p>
    <w:p>
      <w:r>
        <w:rPr>
          <w:b w:val="0"/>
          <w:i/>
          <w:sz w:val="19"/>
        </w:rPr>
        <w:t>Prepared by: [Head of Internal Audit]  ·  Date: [date]  ·  Classification: Audit Committee Confidential</w:t>
      </w:r>
    </w:p>
    <w:p>
      <w:pPr>
        <w:pStyle w:val="Heading2"/>
      </w:pPr>
      <w:r>
        <w:t>1. Assurance Summary</w:t>
      </w:r>
    </w:p>
    <w:p>
      <w:r>
        <w:rPr>
          <w:b w:val="0"/>
          <w:i w:val="0"/>
          <w:sz w:val="20"/>
        </w:rPr>
        <w:t>[Overall assurance opinion/RAG and key messages for the quarter, anchored to the IIA Standards and the Three Lines Model by name.]</w:t>
      </w:r>
    </w:p>
    <w:p>
      <w:pPr>
        <w:pStyle w:val="Heading2"/>
      </w:pPr>
      <w:r>
        <w:t>2. Audit Plan Delivery</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4032"/>
            <w:shd w:val="clear" w:fill="1B4D89"/>
          </w:tcPr>
          <w:p>
            <w:r/>
            <w:r>
              <w:rPr>
                <w:rFonts w:ascii="Arial" w:hAnsi="Arial"/>
                <w:b/>
                <w:color w:val="FFFFFF"/>
                <w:sz w:val="16"/>
              </w:rPr>
              <w:t>Measure</w:t>
            </w:r>
          </w:p>
        </w:tc>
        <w:tc>
          <w:tcPr>
            <w:tcW w:type="dxa" w:w="1728"/>
            <w:shd w:val="clear" w:fill="1B4D89"/>
          </w:tcPr>
          <w:p>
            <w:r/>
            <w:r>
              <w:rPr>
                <w:rFonts w:ascii="Arial" w:hAnsi="Arial"/>
                <w:b/>
                <w:color w:val="FFFFFF"/>
                <w:sz w:val="16"/>
              </w:rPr>
              <w:t>Actual</w:t>
            </w:r>
          </w:p>
        </w:tc>
        <w:tc>
          <w:tcPr>
            <w:tcW w:type="dxa" w:w="1728"/>
            <w:shd w:val="clear" w:fill="1B4D89"/>
          </w:tcPr>
          <w:p>
            <w:r/>
            <w:r>
              <w:rPr>
                <w:rFonts w:ascii="Arial" w:hAnsi="Arial"/>
                <w:b/>
                <w:color w:val="FFFFFF"/>
                <w:sz w:val="16"/>
              </w:rPr>
              <w:t>Target</w:t>
            </w:r>
          </w:p>
        </w:tc>
        <w:tc>
          <w:tcPr>
            <w:tcW w:type="dxa" w:w="1296"/>
            <w:shd w:val="clear" w:fill="1B4D89"/>
          </w:tcPr>
          <w:p>
            <w:r/>
            <w:r>
              <w:rPr>
                <w:rFonts w:ascii="Arial" w:hAnsi="Arial"/>
                <w:b/>
                <w:color w:val="FFFFFF"/>
                <w:sz w:val="16"/>
              </w:rPr>
              <w:t>RAG</w:t>
            </w:r>
          </w:p>
        </w:tc>
      </w:tr>
      <w:tr>
        <w:tc>
          <w:tcPr>
            <w:tcW w:type="dxa" w:w="4032"/>
          </w:tcPr>
          <w:p>
            <w:r/>
            <w:r>
              <w:rPr>
                <w:rFonts w:ascii="Arial" w:hAnsi="Arial"/>
                <w:b w:val="0"/>
                <w:sz w:val="16"/>
              </w:rPr>
              <w:t>Audit plan completion</w:t>
            </w:r>
          </w:p>
        </w:tc>
        <w:tc>
          <w:tcPr>
            <w:tcW w:type="dxa" w:w="1728"/>
          </w:tcPr>
          <w:p>
            <w:r/>
            <w:r>
              <w:rPr>
                <w:rFonts w:ascii="Arial" w:hAnsi="Arial"/>
                <w:b w:val="0"/>
                <w:sz w:val="16"/>
              </w:rPr>
              <w:t>[ ]</w:t>
            </w:r>
          </w:p>
        </w:tc>
        <w:tc>
          <w:tcPr>
            <w:tcW w:type="dxa" w:w="1728"/>
          </w:tcPr>
          <w:p>
            <w:r/>
            <w:r>
              <w:rPr>
                <w:rFonts w:ascii="Arial" w:hAnsi="Arial"/>
                <w:b w:val="0"/>
                <w:sz w:val="16"/>
              </w:rPr>
              <w:t>≥90%</w:t>
            </w:r>
          </w:p>
        </w:tc>
        <w:tc>
          <w:tcPr>
            <w:tcW w:type="dxa" w:w="1296"/>
            <w:shd w:val="clear" w:fill="E08A2B"/>
          </w:tcPr>
          <w:p>
            <w:pPr>
              <w:jc w:val="center"/>
            </w:pPr>
            <w:r/>
            <w:r>
              <w:rPr>
                <w:rFonts w:ascii="Arial" w:hAnsi="Arial"/>
                <w:b/>
                <w:color w:val="FFFFFF"/>
                <w:sz w:val="16"/>
              </w:rPr>
              <w:t>Amber</w:t>
            </w:r>
          </w:p>
        </w:tc>
      </w:tr>
      <w:tr>
        <w:tc>
          <w:tcPr>
            <w:tcW w:type="dxa" w:w="4032"/>
            <w:shd w:val="clear" w:fill="F4F7FB"/>
          </w:tcPr>
          <w:p>
            <w:r/>
            <w:r>
              <w:rPr>
                <w:rFonts w:ascii="Arial" w:hAnsi="Arial"/>
                <w:b w:val="0"/>
                <w:sz w:val="16"/>
              </w:rPr>
              <w:t>Reviews completed</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296"/>
            <w:shd w:val="clear" w:fill="F4F7FB"/>
            <w:shd w:val="clear" w:fill="E08A2B"/>
          </w:tcPr>
          <w:p>
            <w:pPr>
              <w:jc w:val="center"/>
            </w:pPr>
            <w:r/>
            <w:r>
              <w:rPr>
                <w:rFonts w:ascii="Arial" w:hAnsi="Arial"/>
                <w:b/>
                <w:color w:val="FFFFFF"/>
                <w:sz w:val="16"/>
              </w:rPr>
              <w:t>Amber</w:t>
            </w:r>
          </w:p>
        </w:tc>
      </w:tr>
      <w:tr>
        <w:tc>
          <w:tcPr>
            <w:tcW w:type="dxa" w:w="4032"/>
          </w:tcPr>
          <w:p>
            <w:r/>
            <w:r>
              <w:rPr>
                <w:rFonts w:ascii="Arial" w:hAnsi="Arial"/>
                <w:b w:val="0"/>
                <w:sz w:val="16"/>
              </w:rPr>
              <w:t>Audit actions closed in SLA</w:t>
            </w:r>
          </w:p>
        </w:tc>
        <w:tc>
          <w:tcPr>
            <w:tcW w:type="dxa" w:w="1728"/>
          </w:tcPr>
          <w:p>
            <w:r/>
            <w:r>
              <w:rPr>
                <w:rFonts w:ascii="Arial" w:hAnsi="Arial"/>
                <w:b w:val="0"/>
                <w:sz w:val="16"/>
              </w:rPr>
              <w:t>[ ]</w:t>
            </w:r>
          </w:p>
        </w:tc>
        <w:tc>
          <w:tcPr>
            <w:tcW w:type="dxa" w:w="1728"/>
          </w:tcPr>
          <w:p>
            <w:r/>
            <w:r>
              <w:rPr>
                <w:rFonts w:ascii="Arial" w:hAnsi="Arial"/>
                <w:b w:val="0"/>
                <w:sz w:val="16"/>
              </w:rPr>
              <w:t>≥90%</w:t>
            </w:r>
          </w:p>
        </w:tc>
        <w:tc>
          <w:tcPr>
            <w:tcW w:type="dxa" w:w="1296"/>
            <w:shd w:val="clear" w:fill="E08A2B"/>
          </w:tcPr>
          <w:p>
            <w:pPr>
              <w:jc w:val="center"/>
            </w:pPr>
            <w:r/>
            <w:r>
              <w:rPr>
                <w:rFonts w:ascii="Arial" w:hAnsi="Arial"/>
                <w:b/>
                <w:color w:val="FFFFFF"/>
                <w:sz w:val="16"/>
              </w:rPr>
              <w:t>Amber</w:t>
            </w:r>
          </w:p>
        </w:tc>
      </w:tr>
      <w:tr>
        <w:tc>
          <w:tcPr>
            <w:tcW w:type="dxa" w:w="4032"/>
            <w:shd w:val="clear" w:fill="F4F7FB"/>
          </w:tcPr>
          <w:p>
            <w:r/>
            <w:r>
              <w:rPr>
                <w:rFonts w:ascii="Arial" w:hAnsi="Arial"/>
                <w:b w:val="0"/>
                <w:sz w:val="16"/>
              </w:rPr>
              <w:t>Repeat findings</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0</w:t>
            </w:r>
          </w:p>
        </w:tc>
        <w:tc>
          <w:tcPr>
            <w:tcW w:type="dxa" w:w="1296"/>
            <w:shd w:val="clear" w:fill="F4F7FB"/>
            <w:shd w:val="clear" w:fill="B23A48"/>
          </w:tcPr>
          <w:p>
            <w:pPr>
              <w:jc w:val="center"/>
            </w:pPr>
            <w:r/>
            <w:r>
              <w:rPr>
                <w:rFonts w:ascii="Arial" w:hAnsi="Arial"/>
                <w:b/>
                <w:color w:val="FFFFFF"/>
                <w:sz w:val="16"/>
              </w:rPr>
              <w:t>Red</w:t>
            </w:r>
          </w:p>
        </w:tc>
      </w:tr>
    </w:tbl>
    <w:p>
      <w:pPr>
        <w:pStyle w:val="Heading2"/>
      </w:pPr>
      <w:r>
        <w:t>3. Control Effectiveness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Domain</w:t>
            </w:r>
          </w:p>
        </w:tc>
        <w:tc>
          <w:tcPr>
            <w:tcW w:type="dxa" w:w="2304"/>
            <w:shd w:val="clear" w:fill="1B4D89"/>
          </w:tcPr>
          <w:p>
            <w:r/>
            <w:r>
              <w:rPr>
                <w:rFonts w:ascii="Arial" w:hAnsi="Arial"/>
                <w:b/>
                <w:color w:val="FFFFFF"/>
                <w:sz w:val="16"/>
              </w:rPr>
              <w:t>Design</w:t>
            </w:r>
          </w:p>
        </w:tc>
        <w:tc>
          <w:tcPr>
            <w:tcW w:type="dxa" w:w="2592"/>
            <w:shd w:val="clear" w:fill="1B4D89"/>
          </w:tcPr>
          <w:p>
            <w:r/>
            <w:r>
              <w:rPr>
                <w:rFonts w:ascii="Arial" w:hAnsi="Arial"/>
                <w:b/>
                <w:color w:val="FFFFFF"/>
                <w:sz w:val="16"/>
              </w:rPr>
              <w:t>Operating</w:t>
            </w:r>
          </w:p>
        </w:tc>
        <w:tc>
          <w:tcPr>
            <w:tcW w:type="dxa" w:w="1296"/>
            <w:shd w:val="clear" w:fill="1B4D89"/>
          </w:tcPr>
          <w:p>
            <w:r/>
            <w:r>
              <w:rPr>
                <w:rFonts w:ascii="Arial" w:hAnsi="Arial"/>
                <w:b/>
                <w:color w:val="FFFFFF"/>
                <w:sz w:val="16"/>
              </w:rPr>
              <w:t>RAG</w:t>
            </w:r>
          </w:p>
        </w:tc>
      </w:tr>
      <w:tr>
        <w:tc>
          <w:tcPr>
            <w:tcW w:type="dxa" w:w="3744"/>
          </w:tcPr>
          <w:p>
            <w:r/>
            <w:r>
              <w:rPr>
                <w:rFonts w:ascii="Arial" w:hAnsi="Arial"/>
                <w:b w:val="0"/>
                <w:sz w:val="16"/>
              </w:rPr>
              <w:t>Financial controls</w:t>
            </w:r>
          </w:p>
        </w:tc>
        <w:tc>
          <w:tcPr>
            <w:tcW w:type="dxa" w:w="2304"/>
          </w:tcPr>
          <w:p>
            <w:r/>
            <w:r>
              <w:rPr>
                <w:rFonts w:ascii="Arial" w:hAnsi="Arial"/>
                <w:b w:val="0"/>
                <w:sz w:val="16"/>
              </w:rPr>
              <w:t>Effective</w:t>
            </w:r>
          </w:p>
        </w:tc>
        <w:tc>
          <w:tcPr>
            <w:tcW w:type="dxa" w:w="2592"/>
          </w:tcPr>
          <w:p>
            <w:r/>
            <w:r>
              <w:rPr>
                <w:rFonts w:ascii="Arial" w:hAnsi="Arial"/>
                <w:b w:val="0"/>
                <w:sz w:val="16"/>
              </w:rPr>
              <w:t>Partially effective</w:t>
            </w:r>
          </w:p>
        </w:tc>
        <w:tc>
          <w:tcPr>
            <w:tcW w:type="dxa" w:w="1296"/>
            <w:shd w:val="clear" w:fill="E08A2B"/>
          </w:tcPr>
          <w:p>
            <w:pPr>
              <w:jc w:val="center"/>
            </w:pPr>
            <w:r/>
            <w:r>
              <w:rPr>
                <w:rFonts w:ascii="Arial" w:hAnsi="Arial"/>
                <w:b/>
                <w:color w:val="FFFFFF"/>
                <w:sz w:val="16"/>
              </w:rPr>
              <w:t>Amber</w:t>
            </w:r>
          </w:p>
        </w:tc>
      </w:tr>
      <w:tr>
        <w:tc>
          <w:tcPr>
            <w:tcW w:type="dxa" w:w="3744"/>
            <w:shd w:val="clear" w:fill="F4F7FB"/>
          </w:tcPr>
          <w:p>
            <w:r/>
            <w:r>
              <w:rPr>
                <w:rFonts w:ascii="Arial" w:hAnsi="Arial"/>
                <w:b w:val="0"/>
                <w:sz w:val="16"/>
              </w:rPr>
              <w:t>Procurement controls</w:t>
            </w:r>
          </w:p>
        </w:tc>
        <w:tc>
          <w:tcPr>
            <w:tcW w:type="dxa" w:w="2304"/>
            <w:shd w:val="clear" w:fill="F4F7FB"/>
          </w:tcPr>
          <w:p>
            <w:r/>
            <w:r>
              <w:rPr>
                <w:rFonts w:ascii="Arial" w:hAnsi="Arial"/>
                <w:b w:val="0"/>
                <w:sz w:val="16"/>
              </w:rPr>
              <w:t>Partially effective</w:t>
            </w:r>
          </w:p>
        </w:tc>
        <w:tc>
          <w:tcPr>
            <w:tcW w:type="dxa" w:w="2592"/>
            <w:shd w:val="clear" w:fill="F4F7FB"/>
          </w:tcPr>
          <w:p>
            <w:r/>
            <w:r>
              <w:rPr>
                <w:rFonts w:ascii="Arial" w:hAnsi="Arial"/>
                <w:b w:val="0"/>
                <w:sz w:val="16"/>
              </w:rPr>
              <w:t>Partially effective</w:t>
            </w:r>
          </w:p>
        </w:tc>
        <w:tc>
          <w:tcPr>
            <w:tcW w:type="dxa" w:w="1296"/>
            <w:shd w:val="clear" w:fill="F4F7FB"/>
            <w:shd w:val="clear" w:fill="E08A2B"/>
          </w:tcPr>
          <w:p>
            <w:pPr>
              <w:jc w:val="center"/>
            </w:pPr>
            <w:r/>
            <w:r>
              <w:rPr>
                <w:rFonts w:ascii="Arial" w:hAnsi="Arial"/>
                <w:b/>
                <w:color w:val="FFFFFF"/>
                <w:sz w:val="16"/>
              </w:rPr>
              <w:t>Amber</w:t>
            </w:r>
          </w:p>
        </w:tc>
      </w:tr>
      <w:tr>
        <w:tc>
          <w:tcPr>
            <w:tcW w:type="dxa" w:w="3744"/>
          </w:tcPr>
          <w:p>
            <w:r/>
            <w:r>
              <w:rPr>
                <w:rFonts w:ascii="Arial" w:hAnsi="Arial"/>
                <w:b w:val="0"/>
                <w:sz w:val="16"/>
              </w:rPr>
              <w:t>IT general controls</w:t>
            </w:r>
          </w:p>
        </w:tc>
        <w:tc>
          <w:tcPr>
            <w:tcW w:type="dxa" w:w="2304"/>
          </w:tcPr>
          <w:p>
            <w:r/>
            <w:r>
              <w:rPr>
                <w:rFonts w:ascii="Arial" w:hAnsi="Arial"/>
                <w:b w:val="0"/>
                <w:sz w:val="16"/>
              </w:rPr>
              <w:t>Partially effective</w:t>
            </w:r>
          </w:p>
        </w:tc>
        <w:tc>
          <w:tcPr>
            <w:tcW w:type="dxa" w:w="2592"/>
          </w:tcPr>
          <w:p>
            <w:r/>
            <w:r>
              <w:rPr>
                <w:rFonts w:ascii="Arial" w:hAnsi="Arial"/>
                <w:b w:val="0"/>
                <w:sz w:val="16"/>
              </w:rPr>
              <w:t>Partially effective</w:t>
            </w:r>
          </w:p>
        </w:tc>
        <w:tc>
          <w:tcPr>
            <w:tcW w:type="dxa" w:w="1296"/>
            <w:shd w:val="clear" w:fill="E08A2B"/>
          </w:tcPr>
          <w:p>
            <w:pPr>
              <w:jc w:val="center"/>
            </w:pPr>
            <w:r/>
            <w:r>
              <w:rPr>
                <w:rFonts w:ascii="Arial" w:hAnsi="Arial"/>
                <w:b/>
                <w:color w:val="FFFFFF"/>
                <w:sz w:val="16"/>
              </w:rPr>
              <w:t>Amber</w:t>
            </w:r>
          </w:p>
        </w:tc>
      </w:tr>
      <w:tr>
        <w:tc>
          <w:tcPr>
            <w:tcW w:type="dxa" w:w="3744"/>
            <w:shd w:val="clear" w:fill="F4F7FB"/>
          </w:tcPr>
          <w:p>
            <w:r/>
            <w:r>
              <w:rPr>
                <w:rFonts w:ascii="Arial" w:hAnsi="Arial"/>
                <w:b w:val="0"/>
                <w:sz w:val="16"/>
              </w:rPr>
              <w:t>Fraud controls</w:t>
            </w:r>
          </w:p>
        </w:tc>
        <w:tc>
          <w:tcPr>
            <w:tcW w:type="dxa" w:w="2304"/>
            <w:shd w:val="clear" w:fill="F4F7FB"/>
          </w:tcPr>
          <w:p>
            <w:r/>
            <w:r>
              <w:rPr>
                <w:rFonts w:ascii="Arial" w:hAnsi="Arial"/>
                <w:b w:val="0"/>
                <w:sz w:val="16"/>
              </w:rPr>
              <w:t>Effective</w:t>
            </w:r>
          </w:p>
        </w:tc>
        <w:tc>
          <w:tcPr>
            <w:tcW w:type="dxa" w:w="2592"/>
            <w:shd w:val="clear" w:fill="F4F7FB"/>
          </w:tcPr>
          <w:p>
            <w:r/>
            <w:r>
              <w:rPr>
                <w:rFonts w:ascii="Arial" w:hAnsi="Arial"/>
                <w:b w:val="0"/>
                <w:sz w:val="16"/>
              </w:rPr>
              <w:t>Effective</w:t>
            </w:r>
          </w:p>
        </w:tc>
        <w:tc>
          <w:tcPr>
            <w:tcW w:type="dxa" w:w="1296"/>
            <w:shd w:val="clear" w:fill="F4F7FB"/>
            <w:shd w:val="clear" w:fill="2E7D5B"/>
          </w:tcPr>
          <w:p>
            <w:pPr>
              <w:jc w:val="center"/>
            </w:pPr>
            <w:r/>
            <w:r>
              <w:rPr>
                <w:rFonts w:ascii="Arial" w:hAnsi="Arial"/>
                <w:b/>
                <w:color w:val="FFFFFF"/>
                <w:sz w:val="16"/>
              </w:rPr>
              <w:t>Green</w:t>
            </w:r>
          </w:p>
        </w:tc>
      </w:tr>
    </w:tbl>
    <w:p>
      <w:pPr>
        <w:pStyle w:val="Heading2"/>
      </w:pPr>
      <w:r>
        <w:t>4. Significant Findings &amp; Actions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4608"/>
            <w:shd w:val="clear" w:fill="1B4D89"/>
          </w:tcPr>
          <w:p>
            <w:r/>
            <w:r>
              <w:rPr>
                <w:rFonts w:ascii="Arial" w:hAnsi="Arial"/>
                <w:b/>
                <w:color w:val="FFFFFF"/>
                <w:sz w:val="16"/>
              </w:rPr>
              <w:t>Finding</w:t>
            </w:r>
          </w:p>
        </w:tc>
        <w:tc>
          <w:tcPr>
            <w:tcW w:type="dxa" w:w="1872"/>
            <w:shd w:val="clear" w:fill="1B4D89"/>
          </w:tcPr>
          <w:p>
            <w:r/>
            <w:r>
              <w:rPr>
                <w:rFonts w:ascii="Arial" w:hAnsi="Arial"/>
                <w:b/>
                <w:color w:val="FFFFFF"/>
                <w:sz w:val="16"/>
              </w:rPr>
              <w:t>Severity</w:t>
            </w:r>
          </w:p>
        </w:tc>
        <w:tc>
          <w:tcPr>
            <w:tcW w:type="dxa" w:w="2304"/>
            <w:shd w:val="clear" w:fill="1B4D89"/>
          </w:tcPr>
          <w:p>
            <w:r/>
            <w:r>
              <w:rPr>
                <w:rFonts w:ascii="Arial" w:hAnsi="Arial"/>
                <w:b/>
                <w:color w:val="FFFFFF"/>
                <w:sz w:val="16"/>
              </w:rPr>
              <w:t>Owner</w:t>
            </w:r>
          </w:p>
        </w:tc>
        <w:tc>
          <w:tcPr>
            <w:tcW w:type="dxa" w:w="1872"/>
            <w:shd w:val="clear" w:fill="1B4D89"/>
          </w:tcPr>
          <w:p>
            <w:r/>
            <w:r>
              <w:rPr>
                <w:rFonts w:ascii="Arial" w:hAnsi="Arial"/>
                <w:b/>
                <w:color w:val="FFFFFF"/>
                <w:sz w:val="16"/>
              </w:rPr>
              <w:t>Status</w:t>
            </w:r>
          </w:p>
        </w:tc>
      </w:tr>
      <w:tr>
        <w:tc>
          <w:tcPr>
            <w:tcW w:type="dxa" w:w="4608"/>
          </w:tcPr>
          <w:p>
            <w:r/>
            <w:r>
              <w:rPr>
                <w:rFonts w:ascii="Arial" w:hAnsi="Arial"/>
                <w:b w:val="0"/>
                <w:sz w:val="16"/>
              </w:rPr>
              <w:t>[finding 1]</w:t>
            </w:r>
          </w:p>
        </w:tc>
        <w:tc>
          <w:tcPr>
            <w:tcW w:type="dxa" w:w="1872"/>
            <w:shd w:val="clear" w:fill="E08A2B"/>
          </w:tcPr>
          <w:p>
            <w:pPr>
              <w:jc w:val="center"/>
            </w:pPr>
            <w:r/>
            <w:r>
              <w:rPr>
                <w:rFonts w:ascii="Arial" w:hAnsi="Arial"/>
                <w:b/>
                <w:color w:val="FFFFFF"/>
                <w:sz w:val="16"/>
              </w:rPr>
              <w:t>Significant</w:t>
            </w:r>
          </w:p>
        </w:tc>
        <w:tc>
          <w:tcPr>
            <w:tcW w:type="dxa" w:w="2304"/>
          </w:tcPr>
          <w:p>
            <w:r/>
            <w:r>
              <w:rPr>
                <w:rFonts w:ascii="Arial" w:hAnsi="Arial"/>
                <w:b w:val="0"/>
                <w:sz w:val="16"/>
              </w:rPr>
              <w:t>[owner]</w:t>
            </w:r>
          </w:p>
        </w:tc>
        <w:tc>
          <w:tcPr>
            <w:tcW w:type="dxa" w:w="1872"/>
          </w:tcPr>
          <w:p>
            <w:r/>
            <w:r>
              <w:rPr>
                <w:rFonts w:ascii="Arial" w:hAnsi="Arial"/>
                <w:b w:val="0"/>
                <w:sz w:val="16"/>
              </w:rPr>
              <w:t>[status]</w:t>
            </w:r>
          </w:p>
        </w:tc>
      </w:tr>
      <w:tr>
        <w:tc>
          <w:tcPr>
            <w:tcW w:type="dxa" w:w="4608"/>
            <w:shd w:val="clear" w:fill="F4F7FB"/>
          </w:tcPr>
          <w:p>
            <w:r/>
            <w:r>
              <w:rPr>
                <w:rFonts w:ascii="Arial" w:hAnsi="Arial"/>
                <w:b w:val="0"/>
                <w:sz w:val="16"/>
              </w:rPr>
              <w:t>[finding 2]</w:t>
            </w:r>
          </w:p>
        </w:tc>
        <w:tc>
          <w:tcPr>
            <w:tcW w:type="dxa" w:w="1872"/>
            <w:shd w:val="clear" w:fill="F4F7FB"/>
          </w:tcPr>
          <w:p>
            <w:r/>
            <w:r>
              <w:rPr>
                <w:rFonts w:ascii="Arial" w:hAnsi="Arial"/>
                <w:b w:val="0"/>
                <w:sz w:val="16"/>
              </w:rPr>
              <w:t>Moderate</w:t>
            </w:r>
          </w:p>
        </w:tc>
        <w:tc>
          <w:tcPr>
            <w:tcW w:type="dxa" w:w="2304"/>
            <w:shd w:val="clear" w:fill="F4F7FB"/>
          </w:tcPr>
          <w:p>
            <w:r/>
            <w:r>
              <w:rPr>
                <w:rFonts w:ascii="Arial" w:hAnsi="Arial"/>
                <w:b w:val="0"/>
                <w:sz w:val="16"/>
              </w:rPr>
              <w:t>[owner]</w:t>
            </w:r>
          </w:p>
        </w:tc>
        <w:tc>
          <w:tcPr>
            <w:tcW w:type="dxa" w:w="1872"/>
            <w:shd w:val="clear" w:fill="F4F7FB"/>
          </w:tcPr>
          <w:p>
            <w:r/>
            <w:r>
              <w:rPr>
                <w:rFonts w:ascii="Arial" w:hAnsi="Arial"/>
                <w:b w:val="0"/>
                <w:sz w:val="16"/>
              </w:rPr>
              <w:t>[status]</w:t>
            </w:r>
          </w:p>
        </w:tc>
      </w:tr>
    </w:tbl>
    <w:p>
      <w:pPr>
        <w:pStyle w:val="Heading2"/>
      </w:pPr>
      <w:r>
        <w:t>5. Assurance Opinion &amp; Recommendations</w:t>
      </w:r>
    </w:p>
    <w:p>
      <w:r>
        <w:rPr>
          <w:b w:val="0"/>
          <w:i w:val="0"/>
          <w:sz w:val="20"/>
        </w:rPr>
        <w:t>[Overall opinion on the adequacy and effectiveness of internal control for the quarter, with recommendations. Editable.]</w:t>
      </w:r>
    </w:p>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