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DATA &amp; AI CENTRE™</w:t>
      </w:r>
    </w:p>
    <w:p>
      <w:pPr>
        <w:jc w:val="center"/>
      </w:pPr>
      <w:r>
        <w:rPr>
          <w:b/>
          <w:color w:val="10243F"/>
          <w:sz w:val="50"/>
        </w:rPr>
        <w:t>Data Governance Toolkit™</w:t>
      </w:r>
    </w:p>
    <w:p>
      <w:pPr>
        <w:jc w:val="center"/>
      </w:pPr>
      <w:r>
        <w:rPr>
          <w:color w:val="C97B2C"/>
          <w:sz w:val="26"/>
        </w:rPr>
        <w:t>Stand up enterprise data governance end-to-end</w:t>
      </w:r>
    </w:p>
    <w:p/>
    <w:p/>
    <w:p>
      <w:pPr>
        <w:jc w:val="center"/>
      </w:pPr>
      <w:r>
        <w:rPr>
          <w:color w:val="555555"/>
          <w:sz w:val="20"/>
        </w:rPr>
        <w:t>CDO / Data Office / Governance Council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Full Guide</w:t>
      </w:r>
    </w:p>
    <w:p>
      <w:r>
        <w:rPr>
          <w:b w:val="0"/>
          <w:i w:val="0"/>
          <w:sz w:val="20"/>
        </w:rPr>
        <w:t>Data governance establishes enterprise ownership, policy and accountability for data as a managed asset. This toolkit gives you the operating model, the registers, the policies and the reporting to stand up or upgrade data governance and sustain it.</w:t>
      </w:r>
    </w:p>
    <w:p>
      <w:pPr>
        <w:pStyle w:val="Heading2"/>
      </w:pPr>
      <w:r>
        <w:t>Operating lifecycle</w:t>
      </w:r>
    </w:p>
    <w:p>
      <w:pPr>
        <w:pStyle w:val="ListNumber"/>
      </w:pPr>
      <w:r>
        <w:rPr>
          <w:sz w:val="19"/>
        </w:rPr>
        <w:t>Diagnose — assess governance maturity and gaps</w:t>
      </w:r>
    </w:p>
    <w:p>
      <w:pPr>
        <w:pStyle w:val="ListNumber"/>
      </w:pPr>
      <w:r>
        <w:rPr>
          <w:sz w:val="19"/>
        </w:rPr>
        <w:t>Design — operating model, council, domains, policies</w:t>
      </w:r>
    </w:p>
    <w:p>
      <w:pPr>
        <w:pStyle w:val="ListNumber"/>
      </w:pPr>
      <w:r>
        <w:rPr>
          <w:sz w:val="19"/>
        </w:rPr>
        <w:t>Build — appoint owners/stewards, publish standards</w:t>
      </w:r>
    </w:p>
    <w:p>
      <w:pPr>
        <w:pStyle w:val="ListNumber"/>
      </w:pPr>
      <w:r>
        <w:rPr>
          <w:sz w:val="19"/>
        </w:rPr>
        <w:t>Embed — train, run the council, resolve issues</w:t>
      </w:r>
    </w:p>
    <w:p>
      <w:pPr>
        <w:pStyle w:val="ListNumber"/>
      </w:pPr>
      <w:r>
        <w:rPr>
          <w:sz w:val="19"/>
        </w:rPr>
        <w:t>Assure — monitor, report, re-assess</w:t>
      </w:r>
    </w:p>
    <w:p>
      <w:pPr>
        <w:pStyle w:val="Heading2"/>
      </w:pPr>
      <w:r>
        <w:t>Maturity model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L1 Initial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L2 Developing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L3 Defined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L4 Managed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L5 Optimised</w:t>
            </w:r>
          </w:p>
        </w:tc>
      </w:tr>
      <w:tr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Ad hoc / reactive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Basic, siloed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Standardised &amp; governed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Quantified &amp; integrated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Predictive &amp; embedded</w:t>
            </w:r>
          </w:p>
        </w:tc>
      </w:tr>
    </w:tbl>
    <w:p>
      <w:pPr>
        <w:pStyle w:val="Heading2"/>
      </w:pPr>
      <w:r>
        <w:t>Key components</w:t>
      </w:r>
    </w:p>
    <w:p>
      <w:pPr>
        <w:pStyle w:val="ListBullet"/>
      </w:pPr>
      <w:r>
        <w:rPr>
          <w:sz w:val="19"/>
        </w:rPr>
        <w:t>Data domains and ownership</w:t>
      </w:r>
    </w:p>
    <w:p>
      <w:pPr>
        <w:pStyle w:val="ListBullet"/>
      </w:pPr>
      <w:r>
        <w:rPr>
          <w:sz w:val="19"/>
        </w:rPr>
        <w:t>Data stewardship network</w:t>
      </w:r>
    </w:p>
    <w:p>
      <w:pPr>
        <w:pStyle w:val="ListBullet"/>
      </w:pPr>
      <w:r>
        <w:rPr>
          <w:sz w:val="19"/>
        </w:rPr>
        <w:t>Policy and standards</w:t>
      </w:r>
    </w:p>
    <w:p>
      <w:pPr>
        <w:pStyle w:val="ListBullet"/>
      </w:pPr>
      <w:r>
        <w:rPr>
          <w:sz w:val="19"/>
        </w:rPr>
        <w:t>Data Governance Council</w:t>
      </w:r>
    </w:p>
    <w:p>
      <w:pPr>
        <w:pStyle w:val="ListBullet"/>
      </w:pPr>
      <w:r>
        <w:rPr>
          <w:sz w:val="19"/>
        </w:rPr>
        <w:t>Issue and change management</w:t>
      </w:r>
    </w:p>
    <w:p>
      <w:pPr>
        <w:pStyle w:val="ListBullet"/>
      </w:pPr>
      <w:r>
        <w:rPr>
          <w:sz w:val="19"/>
        </w:rPr>
        <w:t>Compliance and assurance</w:t>
      </w:r>
    </w:p>
    <w:p>
      <w:pPr>
        <w:pStyle w:val="Heading1"/>
      </w:pPr>
      <w:r>
        <w:t>2. Templates &amp; Registers</w:t>
      </w:r>
    </w:p>
    <w:p>
      <w:pPr>
        <w:pStyle w:val="Heading3"/>
      </w:pPr>
      <w:r>
        <w:t>Data domain &amp; ownership register</w:t>
      </w:r>
    </w:p>
    <w:p>
      <w:r>
        <w:rPr>
          <w:b w:val="0"/>
          <w:i w:val="0"/>
          <w:sz w:val="19"/>
        </w:rPr>
        <w:t>Assign accountable owners and stewards to every domain (working XLSX supplied separately).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Domain</w:t>
            </w:r>
          </w:p>
        </w:tc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Owner</w:t>
            </w:r>
          </w:p>
        </w:tc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Steward</w:t>
            </w:r>
          </w:p>
        </w:tc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Critical?</w:t>
            </w:r>
          </w:p>
        </w:tc>
      </w:tr>
      <w:tr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Customer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CCO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Steward (Cust)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Yes</w:t>
            </w:r>
          </w:p>
        </w:tc>
      </w:tr>
      <w:tr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Finance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CFO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Steward (Fin)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Yes</w:t>
            </w:r>
          </w:p>
        </w:tc>
      </w:tr>
      <w:tr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Vendor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CPO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Steward (Proc)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No</w:t>
            </w:r>
          </w:p>
        </w:tc>
      </w:tr>
    </w:tbl>
    <w:p>
      <w:pPr>
        <w:pStyle w:val="Heading3"/>
      </w:pPr>
      <w:r>
        <w:t>Data Governance Council — Terms of Reference</w:t>
      </w:r>
    </w:p>
    <w:p>
      <w:r>
        <w:rPr>
          <w:b w:val="0"/>
          <w:i w:val="0"/>
          <w:sz w:val="19"/>
        </w:rPr>
        <w:t>Purpose, membership, cadence and decision rights of the governance forum.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Element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Provision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Purpose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Set and enforce data standards and resolve issues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Membership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CDO (chair), domain owners, privacy, security, analytics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Cadence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Monthly; escalations as needed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Decisions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 policies, standards, domain ownership, issue resolution</w:t>
            </w:r>
          </w:p>
        </w:tc>
      </w:tr>
    </w:tbl>
    <w:p>
      <w:pPr>
        <w:pStyle w:val="Heading3"/>
      </w:pPr>
      <w:r>
        <w:t>Data issue log</w:t>
      </w:r>
    </w:p>
    <w:p>
      <w:r>
        <w:rPr>
          <w:b w:val="0"/>
          <w:i w:val="0"/>
          <w:sz w:val="19"/>
        </w:rPr>
        <w:t>Capture, prioritise and resolve data issues (structure).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Field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Example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Issue ID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DI-001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Domain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Customer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Description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Duplicate customer records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Severity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High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Owner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Steward (Cust)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Status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In Progress</w:t>
            </w:r>
          </w:p>
        </w:tc>
      </w:tr>
    </w:tbl>
    <w:p>
      <w:pPr>
        <w:pStyle w:val="Heading1"/>
      </w:pPr>
      <w:r>
        <w:t>3. Checklists</w:t>
      </w:r>
    </w:p>
    <w:p>
      <w:pPr>
        <w:ind w:left="288"/>
      </w:pPr>
      <w:r>
        <w:rPr>
          <w:sz w:val="19"/>
        </w:rPr>
        <w:t>☐  Board-approved data governance policy in place</w:t>
      </w:r>
    </w:p>
    <w:p>
      <w:pPr>
        <w:ind w:left="288"/>
      </w:pPr>
      <w:r>
        <w:rPr>
          <w:sz w:val="19"/>
        </w:rPr>
        <w:t>☐  Data Governance Council operating with clear ToR</w:t>
      </w:r>
    </w:p>
    <w:p>
      <w:pPr>
        <w:ind w:left="288"/>
      </w:pPr>
      <w:r>
        <w:rPr>
          <w:sz w:val="19"/>
        </w:rPr>
        <w:t>☐  Critical data domains have owners and stewards</w:t>
      </w:r>
    </w:p>
    <w:p>
      <w:pPr>
        <w:ind w:left="288"/>
      </w:pPr>
      <w:r>
        <w:rPr>
          <w:sz w:val="19"/>
        </w:rPr>
        <w:t>☐  Data standards defined and published</w:t>
      </w:r>
    </w:p>
    <w:p>
      <w:pPr>
        <w:ind w:left="288"/>
      </w:pPr>
      <w:r>
        <w:rPr>
          <w:sz w:val="19"/>
        </w:rPr>
        <w:t>☐  Data dictionary / catalogue maintained</w:t>
      </w:r>
    </w:p>
    <w:p>
      <w:pPr>
        <w:ind w:left="288"/>
      </w:pPr>
      <w:r>
        <w:rPr>
          <w:sz w:val="19"/>
        </w:rPr>
        <w:t>☐  Data issue log operating and triaged</w:t>
      </w:r>
    </w:p>
    <w:p>
      <w:pPr>
        <w:ind w:left="288"/>
      </w:pPr>
      <w:r>
        <w:rPr>
          <w:sz w:val="19"/>
        </w:rPr>
        <w:t>☐  Privacy and security aligned (NDPA)</w:t>
      </w:r>
    </w:p>
    <w:p>
      <w:pPr>
        <w:ind w:left="288"/>
      </w:pPr>
      <w:r>
        <w:rPr>
          <w:sz w:val="19"/>
        </w:rPr>
        <w:t>☐  Governance reporting reaching leadership</w:t>
      </w:r>
    </w:p>
    <w:p>
      <w:pPr>
        <w:pStyle w:val="Heading2"/>
      </w:pPr>
      <w:r>
        <w:t>Governance Structure</w:t>
      </w:r>
    </w:p>
    <w:p>
      <w:r>
        <w:rPr>
          <w:b w:val="0"/>
          <w:i w:val="0"/>
          <w:sz w:val="20"/>
        </w:rPr>
        <w:t>Data &amp; AI is governed through clear accountability under board oversight: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45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Layer</w:t>
            </w:r>
          </w:p>
        </w:tc>
        <w:tc>
          <w:tcPr>
            <w:tcW w:type="dxa" w:w="80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Role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Board / Audit Committee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Approves policy and appetite; oversees data &amp; AI risk and value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Data &amp; AI Governance Committee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Sets standards, tiers AI, approves high-risk use, reviews oversight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Data/AI owners (1st line)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Own and manage data and AI in their area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Data office / AI risk (2nd line)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Set framework, monitor, challenge, aggregate reporting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Internal Audit (3rd line)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Independent assurance over data &amp; AI controls</w:t>
            </w:r>
          </w:p>
        </w:tc>
      </w:tr>
    </w:tbl>
    <w:p>
      <w:pPr>
        <w:pStyle w:val="Heading2"/>
      </w:pPr>
      <w:r>
        <w:t>Reporting Template</w:t>
      </w:r>
    </w:p>
    <w:p>
      <w:r>
        <w:rPr>
          <w:b w:val="0"/>
          <w:i w:val="0"/>
          <w:sz w:val="19"/>
        </w:rPr>
        <w:t>Standard report structure: executive summary · profile vs target (RAG) · key metrics · issues &amp; actions · decisions sought.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Metric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Target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37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Stewardship coverage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88%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≥90%</w:t>
            </w:r>
          </w:p>
        </w:tc>
        <w:tc>
          <w:tcPr>
            <w:tcW w:type="dxa" w:w="1152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Appoint remaining stewards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Critical domains owned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100%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100%</w:t>
            </w:r>
          </w:p>
        </w:tc>
        <w:tc>
          <w:tcPr>
            <w:tcW w:type="dxa" w:w="1152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Open data issues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0 critical</w:t>
            </w:r>
          </w:p>
        </w:tc>
        <w:tc>
          <w:tcPr>
            <w:tcW w:type="dxa" w:w="1152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Close high-severity issues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Policy adherence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92%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≥95%</w:t>
            </w:r>
          </w:p>
        </w:tc>
        <w:tc>
          <w:tcPr>
            <w:tcW w:type="dxa" w:w="1152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Targeted remediation</w:t>
            </w:r>
          </w:p>
        </w:tc>
      </w:tr>
    </w:tbl>
    <w:p>
      <w:pPr>
        <w:pStyle w:val="Heading2"/>
      </w:pPr>
      <w:r>
        <w:t>Board Reporting Example</w:t>
      </w:r>
    </w:p>
    <w:p>
      <w:r>
        <w:rPr>
          <w:b w:val="0"/>
          <w:i/>
          <w:sz w:val="19"/>
        </w:rPr>
        <w:t>Illustrative one-page board summary (replace with live data):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3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Governance maturity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Defined level; council operating; coverage at 88%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Data ownership</w:t>
            </w:r>
          </w:p>
        </w:tc>
        <w:tc>
          <w:tcPr>
            <w:tcW w:type="dxa" w:w="1440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All critical domains have accountable owners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Key risks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Vendor-domain quality below target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Decisions sought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 two additional steward appointments</w:t>
            </w:r>
          </w:p>
        </w:tc>
      </w:tr>
    </w:tbl>
    <w:p>
      <w:pPr>
        <w:pStyle w:val="Heading2"/>
      </w:pPr>
      <w:r>
        <w:t>Notes &amp; Disclaimer</w:t>
      </w:r>
    </w:p>
    <w:p>
      <w:r>
        <w:rPr>
          <w:b w:val="0"/>
          <w:i/>
          <w:sz w:val="18"/>
        </w:rPr>
        <w:t>This toolkit is a professional management resource, not legal or regulatory advice. Calibrate scoring, tiers, policies and governance to your organisation, sector and applicable regulation. Data-protection items should be confirmed against the Nigeria Data Protection Act (NDPA) and other applicable law; AI-specific obligations should be confirmed against current and emerging regulation.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