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Quarterly ESG Report</w:t>
      </w:r>
    </w:p>
    <w:p>
      <w:pPr>
        <w:jc w:val="center"/>
      </w:pPr>
      <w:r>
        <w:rPr>
          <w:color w:val="C97B2C"/>
          <w:sz w:val="26"/>
        </w:rPr>
        <w:t>Quarterly ESG performance report to the board / ESG committee</w:t>
      </w:r>
    </w:p>
    <w:p/>
    <w:p/>
    <w:p>
      <w:pPr>
        <w:jc w:val="center"/>
      </w:pPr>
      <w:r>
        <w:rPr>
          <w:color w:val="555555"/>
          <w:sz w:val="20"/>
        </w:rPr>
        <w:t>Board / ESG Committee  ·  Flagship Edition 2026</w:t>
      </w:r>
    </w:p>
    <w:p>
      <w:pPr>
        <w:jc w:val="center"/>
      </w:pPr>
      <w:r>
        <w:rPr>
          <w:i/>
          <w:color w:val="555555"/>
          <w:sz w:val="18"/>
        </w:rPr>
        <w:t>Outliers Professionals Ltd — ESG &amp; Sustainability Centre Resource Library</w:t>
      </w:r>
    </w:p>
    <w:p>
      <w:r>
        <w:br w:type="page"/>
      </w:r>
    </w:p>
    <w:p>
      <w:pPr>
        <w:pStyle w:val="Heading1"/>
      </w:pPr>
      <w:r>
        <w:t>Quarterly ESG Report — [Quarter / Year]</w:t>
      </w:r>
    </w:p>
    <w:p>
      <w:r>
        <w:rPr>
          <w:b w:val="0"/>
          <w:i/>
          <w:sz w:val="19"/>
        </w:rPr>
        <w:t>Prepared by: [CSO]  ·  Date: [date]  ·  Classification: Board Confidential</w:t>
      </w:r>
    </w:p>
    <w:p>
      <w:pPr>
        <w:pStyle w:val="Heading2"/>
      </w:pPr>
      <w:r>
        <w:t>1. Executive Summary</w:t>
      </w:r>
    </w:p>
    <w:p>
      <w:r>
        <w:rPr>
          <w:b w:val="0"/>
          <w:i w:val="0"/>
          <w:sz w:val="20"/>
        </w:rPr>
        <w:t>[Overall ESG RAG and key messages on strategy, climate, environment, social, governance and disclosure.]</w:t>
      </w:r>
    </w:p>
    <w:p>
      <w:pPr>
        <w:pStyle w:val="Heading2"/>
      </w:pPr>
      <w:r>
        <w:t>2. ESG Performance vs Target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304"/>
            <w:shd w:val="clear" w:fill="1B4D89"/>
          </w:tcPr>
          <w:p>
            <w:r/>
            <w:r>
              <w:rPr>
                <w:rFonts w:ascii="Arial" w:hAnsi="Arial"/>
                <w:b/>
                <w:color w:val="FFFFFF"/>
                <w:sz w:val="16"/>
              </w:rPr>
              <w:t>Pillar</w:t>
            </w:r>
          </w:p>
        </w:tc>
        <w:tc>
          <w:tcPr>
            <w:tcW w:type="dxa" w:w="3168"/>
            <w:shd w:val="clear" w:fill="1B4D89"/>
          </w:tcPr>
          <w:p>
            <w:r/>
            <w:r>
              <w:rPr>
                <w:rFonts w:ascii="Arial" w:hAnsi="Arial"/>
                <w:b/>
                <w:color w:val="FFFFFF"/>
                <w:sz w:val="16"/>
              </w:rPr>
              <w:t>Metric</w:t>
            </w:r>
          </w:p>
        </w:tc>
        <w:tc>
          <w:tcPr>
            <w:tcW w:type="dxa" w:w="1728"/>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2304"/>
          </w:tcPr>
          <w:p>
            <w:r/>
            <w:r>
              <w:rPr>
                <w:rFonts w:ascii="Arial" w:hAnsi="Arial"/>
                <w:b w:val="0"/>
                <w:sz w:val="16"/>
              </w:rPr>
              <w:t>Environmental</w:t>
            </w:r>
          </w:p>
        </w:tc>
        <w:tc>
          <w:tcPr>
            <w:tcW w:type="dxa" w:w="3168"/>
          </w:tcPr>
          <w:p>
            <w:r/>
            <w:r>
              <w:rPr>
                <w:rFonts w:ascii="Arial" w:hAnsi="Arial"/>
                <w:b w:val="0"/>
                <w:sz w:val="16"/>
              </w:rPr>
              <w:t>Emissions (tCO2e)</w:t>
            </w:r>
          </w:p>
        </w:tc>
        <w:tc>
          <w:tcPr>
            <w:tcW w:type="dxa" w:w="1728"/>
          </w:tcPr>
          <w:p>
            <w:r/>
            <w:r>
              <w:rPr>
                <w:rFonts w:ascii="Arial" w:hAnsi="Arial"/>
                <w:b w:val="0"/>
                <w:sz w:val="16"/>
              </w:rPr>
              <w:t>[ ]</w:t>
            </w:r>
          </w:p>
        </w:tc>
        <w:tc>
          <w:tcPr>
            <w:tcW w:type="dxa" w:w="1728"/>
          </w:tcPr>
          <w:p>
            <w:r/>
            <w:r>
              <w:rPr>
                <w:rFonts w:ascii="Arial" w:hAnsi="Arial"/>
                <w:b w:val="0"/>
                <w:sz w:val="16"/>
              </w:rPr>
              <w:t>Reducing</w:t>
            </w:r>
          </w:p>
        </w:tc>
        <w:tc>
          <w:tcPr>
            <w:tcW w:type="dxa" w:w="1296"/>
            <w:shd w:val="clear" w:fill="E08A2B"/>
          </w:tcPr>
          <w:p>
            <w:pPr>
              <w:jc w:val="center"/>
            </w:pPr>
            <w:r/>
            <w:r>
              <w:rPr>
                <w:rFonts w:ascii="Arial" w:hAnsi="Arial"/>
                <w:b/>
                <w:color w:val="FFFFFF"/>
                <w:sz w:val="16"/>
              </w:rPr>
              <w:t>Amber</w:t>
            </w:r>
          </w:p>
        </w:tc>
      </w:tr>
      <w:tr>
        <w:tc>
          <w:tcPr>
            <w:tcW w:type="dxa" w:w="2304"/>
            <w:shd w:val="clear" w:fill="F4F7FB"/>
          </w:tcPr>
          <w:p>
            <w:r/>
            <w:r>
              <w:rPr>
                <w:rFonts w:ascii="Arial" w:hAnsi="Arial"/>
                <w:b w:val="0"/>
                <w:sz w:val="16"/>
              </w:rPr>
              <w:t>Environmental</w:t>
            </w:r>
          </w:p>
        </w:tc>
        <w:tc>
          <w:tcPr>
            <w:tcW w:type="dxa" w:w="3168"/>
            <w:shd w:val="clear" w:fill="F4F7FB"/>
          </w:tcPr>
          <w:p>
            <w:r/>
            <w:r>
              <w:rPr>
                <w:rFonts w:ascii="Arial" w:hAnsi="Arial"/>
                <w:b w:val="0"/>
                <w:sz w:val="16"/>
              </w:rPr>
              <w:t>Renewable share</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40%</w:t>
            </w:r>
          </w:p>
        </w:tc>
        <w:tc>
          <w:tcPr>
            <w:tcW w:type="dxa" w:w="1296"/>
            <w:shd w:val="clear" w:fill="F4F7FB"/>
            <w:shd w:val="clear" w:fill="B23A48"/>
          </w:tcPr>
          <w:p>
            <w:pPr>
              <w:jc w:val="center"/>
            </w:pPr>
            <w:r/>
            <w:r>
              <w:rPr>
                <w:rFonts w:ascii="Arial" w:hAnsi="Arial"/>
                <w:b/>
                <w:color w:val="FFFFFF"/>
                <w:sz w:val="16"/>
              </w:rPr>
              <w:t>Red</w:t>
            </w:r>
          </w:p>
        </w:tc>
      </w:tr>
      <w:tr>
        <w:tc>
          <w:tcPr>
            <w:tcW w:type="dxa" w:w="2304"/>
          </w:tcPr>
          <w:p>
            <w:r/>
            <w:r>
              <w:rPr>
                <w:rFonts w:ascii="Arial" w:hAnsi="Arial"/>
                <w:b w:val="0"/>
                <w:sz w:val="16"/>
              </w:rPr>
              <w:t>Social</w:t>
            </w:r>
          </w:p>
        </w:tc>
        <w:tc>
          <w:tcPr>
            <w:tcW w:type="dxa" w:w="3168"/>
          </w:tcPr>
          <w:p>
            <w:r/>
            <w:r>
              <w:rPr>
                <w:rFonts w:ascii="Arial" w:hAnsi="Arial"/>
                <w:b w:val="0"/>
                <w:sz w:val="16"/>
              </w:rPr>
              <w:t>LTI rate</w:t>
            </w:r>
          </w:p>
        </w:tc>
        <w:tc>
          <w:tcPr>
            <w:tcW w:type="dxa" w:w="1728"/>
          </w:tcPr>
          <w:p>
            <w:r/>
            <w:r>
              <w:rPr>
                <w:rFonts w:ascii="Arial" w:hAnsi="Arial"/>
                <w:b w:val="0"/>
                <w:sz w:val="16"/>
              </w:rPr>
              <w:t>[ ]</w:t>
            </w:r>
          </w:p>
        </w:tc>
        <w:tc>
          <w:tcPr>
            <w:tcW w:type="dxa" w:w="1728"/>
          </w:tcPr>
          <w:p>
            <w:r/>
            <w:r>
              <w:rPr>
                <w:rFonts w:ascii="Arial" w:hAnsi="Arial"/>
                <w:b w:val="0"/>
                <w:sz w:val="16"/>
              </w:rPr>
              <w:t>≤0.5</w:t>
            </w:r>
          </w:p>
        </w:tc>
        <w:tc>
          <w:tcPr>
            <w:tcW w:type="dxa" w:w="1296"/>
            <w:shd w:val="clear" w:fill="E08A2B"/>
          </w:tcPr>
          <w:p>
            <w:pPr>
              <w:jc w:val="center"/>
            </w:pPr>
            <w:r/>
            <w:r>
              <w:rPr>
                <w:rFonts w:ascii="Arial" w:hAnsi="Arial"/>
                <w:b/>
                <w:color w:val="FFFFFF"/>
                <w:sz w:val="16"/>
              </w:rPr>
              <w:t>Amber</w:t>
            </w:r>
          </w:p>
        </w:tc>
      </w:tr>
      <w:tr>
        <w:tc>
          <w:tcPr>
            <w:tcW w:type="dxa" w:w="2304"/>
            <w:shd w:val="clear" w:fill="F4F7FB"/>
          </w:tcPr>
          <w:p>
            <w:r/>
            <w:r>
              <w:rPr>
                <w:rFonts w:ascii="Arial" w:hAnsi="Arial"/>
                <w:b w:val="0"/>
                <w:sz w:val="16"/>
              </w:rPr>
              <w:t>Governance</w:t>
            </w:r>
          </w:p>
        </w:tc>
        <w:tc>
          <w:tcPr>
            <w:tcW w:type="dxa" w:w="3168"/>
            <w:shd w:val="clear" w:fill="F4F7FB"/>
          </w:tcPr>
          <w:p>
            <w:r/>
            <w:r>
              <w:rPr>
                <w:rFonts w:ascii="Arial" w:hAnsi="Arial"/>
                <w:b w:val="0"/>
                <w:sz w:val="16"/>
              </w:rPr>
              <w:t>Disclosure completeness</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100%</w:t>
            </w:r>
          </w:p>
        </w:tc>
        <w:tc>
          <w:tcPr>
            <w:tcW w:type="dxa" w:w="1296"/>
            <w:shd w:val="clear" w:fill="F4F7FB"/>
            <w:shd w:val="clear" w:fill="E08A2B"/>
          </w:tcPr>
          <w:p>
            <w:pPr>
              <w:jc w:val="center"/>
            </w:pPr>
            <w:r/>
            <w:r>
              <w:rPr>
                <w:rFonts w:ascii="Arial" w:hAnsi="Arial"/>
                <w:b/>
                <w:color w:val="FFFFFF"/>
                <w:sz w:val="16"/>
              </w:rPr>
              <w:t>Amber</w:t>
            </w:r>
          </w:p>
        </w:tc>
      </w:tr>
    </w:tbl>
    <w:p>
      <w:pPr>
        <w:pStyle w:val="Heading2"/>
      </w:pPr>
      <w:r>
        <w:t>3. Climate &amp; Net Zero</w:t>
      </w:r>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6912"/>
            <w:shd w:val="clear" w:fill="1B4D89"/>
          </w:tcPr>
          <w:p>
            <w:r/>
            <w:r>
              <w:rPr>
                <w:rFonts w:ascii="Arial" w:hAnsi="Arial"/>
                <w:b/>
                <w:color w:val="FFFFFF"/>
                <w:sz w:val="16"/>
              </w:rPr>
              <w:t>Commentary</w:t>
            </w:r>
          </w:p>
        </w:tc>
      </w:tr>
      <w:tr>
        <w:tc>
          <w:tcPr>
            <w:tcW w:type="dxa" w:w="3168"/>
          </w:tcPr>
          <w:p>
            <w:r/>
            <w:r>
              <w:rPr>
                <w:rFonts w:ascii="Arial" w:hAnsi="Arial"/>
                <w:b w:val="0"/>
                <w:sz w:val="16"/>
              </w:rPr>
              <w:t>Emissions trajectory</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[vs pathway]</w:t>
            </w:r>
          </w:p>
        </w:tc>
      </w:tr>
      <w:tr>
        <w:tc>
          <w:tcPr>
            <w:tcW w:type="dxa" w:w="3168"/>
            <w:shd w:val="clear" w:fill="F4F7FB"/>
          </w:tcPr>
          <w:p>
            <w:r/>
            <w:r>
              <w:rPr>
                <w:rFonts w:ascii="Arial" w:hAnsi="Arial"/>
                <w:b w:val="0"/>
                <w:sz w:val="16"/>
              </w:rPr>
              <w:t>Transition plan progress</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 delivered]</w:t>
            </w:r>
          </w:p>
        </w:tc>
      </w:tr>
      <w:tr>
        <w:tc>
          <w:tcPr>
            <w:tcW w:type="dxa" w:w="3168"/>
          </w:tcPr>
          <w:p>
            <w:r/>
            <w:r>
              <w:rPr>
                <w:rFonts w:ascii="Arial" w:hAnsi="Arial"/>
                <w:b w:val="0"/>
                <w:sz w:val="16"/>
              </w:rPr>
              <w:t>Scope 3</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[coverage]</w:t>
            </w:r>
          </w:p>
        </w:tc>
      </w:tr>
    </w:tbl>
    <w:p>
      <w:pPr>
        <w:pStyle w:val="Heading2"/>
      </w:pPr>
      <w:r>
        <w:t>4. Social &amp; Governance</w:t>
      </w:r>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6912"/>
            <w:shd w:val="clear" w:fill="1B4D89"/>
          </w:tcPr>
          <w:p>
            <w:r/>
            <w:r>
              <w:rPr>
                <w:rFonts w:ascii="Arial" w:hAnsi="Arial"/>
                <w:b/>
                <w:color w:val="FFFFFF"/>
                <w:sz w:val="16"/>
              </w:rPr>
              <w:t>Commentary</w:t>
            </w:r>
          </w:p>
        </w:tc>
      </w:tr>
      <w:tr>
        <w:tc>
          <w:tcPr>
            <w:tcW w:type="dxa" w:w="3168"/>
          </w:tcPr>
          <w:p>
            <w:r/>
            <w:r>
              <w:rPr>
                <w:rFonts w:ascii="Arial" w:hAnsi="Arial"/>
                <w:b w:val="0"/>
                <w:sz w:val="16"/>
              </w:rPr>
              <w:t>Health &amp; safety</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[trend]</w:t>
            </w:r>
          </w:p>
        </w:tc>
      </w:tr>
      <w:tr>
        <w:tc>
          <w:tcPr>
            <w:tcW w:type="dxa" w:w="3168"/>
            <w:shd w:val="clear" w:fill="F4F7FB"/>
          </w:tcPr>
          <w:p>
            <w:r/>
            <w:r>
              <w:rPr>
                <w:rFonts w:ascii="Arial" w:hAnsi="Arial"/>
                <w:b w:val="0"/>
                <w:sz w:val="16"/>
              </w:rPr>
              <w:t>DEI</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[progress]</w:t>
            </w:r>
          </w:p>
        </w:tc>
      </w:tr>
      <w:tr>
        <w:tc>
          <w:tcPr>
            <w:tcW w:type="dxa" w:w="3168"/>
          </w:tcPr>
          <w:p>
            <w:r/>
            <w:r>
              <w:rPr>
                <w:rFonts w:ascii="Arial" w:hAnsi="Arial"/>
                <w:b w:val="0"/>
                <w:sz w:val="16"/>
              </w:rPr>
              <w:t>Supplier ESG</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[coverage]</w:t>
            </w:r>
          </w:p>
        </w:tc>
      </w:tr>
      <w:tr>
        <w:tc>
          <w:tcPr>
            <w:tcW w:type="dxa" w:w="3168"/>
            <w:shd w:val="clear" w:fill="F4F7FB"/>
          </w:tcPr>
          <w:p>
            <w:r/>
            <w:r>
              <w:rPr>
                <w:rFonts w:ascii="Arial" w:hAnsi="Arial"/>
                <w:b w:val="0"/>
                <w:sz w:val="16"/>
              </w:rPr>
              <w:t>Disclosure</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[standards alignment]</w:t>
            </w:r>
          </w:p>
        </w:tc>
      </w:tr>
    </w:tbl>
    <w:p>
      <w:pPr>
        <w:pStyle w:val="Heading2"/>
      </w:pPr>
      <w:r>
        <w:t>5. ESG Risks &amp; Actions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Risk / Issue</w:t>
            </w:r>
          </w:p>
        </w:tc>
        <w:tc>
          <w:tcPr>
            <w:tcW w:type="dxa" w:w="1728"/>
            <w:shd w:val="clear" w:fill="1B4D89"/>
          </w:tcPr>
          <w:p>
            <w:r/>
            <w:r>
              <w:rPr>
                <w:rFonts w:ascii="Arial" w:hAnsi="Arial"/>
                <w:b/>
                <w:color w:val="FFFFFF"/>
                <w:sz w:val="16"/>
              </w:rPr>
              <w:t>Rating</w:t>
            </w:r>
          </w:p>
        </w:tc>
        <w:tc>
          <w:tcPr>
            <w:tcW w:type="dxa" w:w="2016"/>
            <w:shd w:val="clear" w:fill="1B4D89"/>
          </w:tcPr>
          <w:p>
            <w:r/>
            <w:r>
              <w:rPr>
                <w:rFonts w:ascii="Arial" w:hAnsi="Arial"/>
                <w:b/>
                <w:color w:val="FFFFFF"/>
                <w:sz w:val="16"/>
              </w:rPr>
              <w:t>Owner</w:t>
            </w:r>
          </w:p>
        </w:tc>
        <w:tc>
          <w:tcPr>
            <w:tcW w:type="dxa" w:w="4032"/>
            <w:shd w:val="clear" w:fill="1B4D89"/>
          </w:tcPr>
          <w:p>
            <w:r/>
            <w:r>
              <w:rPr>
                <w:rFonts w:ascii="Arial" w:hAnsi="Arial"/>
                <w:b/>
                <w:color w:val="FFFFFF"/>
                <w:sz w:val="16"/>
              </w:rPr>
              <w:t>Action</w:t>
            </w:r>
          </w:p>
        </w:tc>
      </w:tr>
      <w:tr>
        <w:tc>
          <w:tcPr>
            <w:tcW w:type="dxa" w:w="3744"/>
          </w:tcPr>
          <w:p>
            <w:r/>
            <w:r>
              <w:rPr>
                <w:rFonts w:ascii="Arial" w:hAnsi="Arial"/>
                <w:b w:val="0"/>
                <w:sz w:val="16"/>
              </w:rPr>
              <w:t>[risk 1]</w:t>
            </w:r>
          </w:p>
        </w:tc>
        <w:tc>
          <w:tcPr>
            <w:tcW w:type="dxa" w:w="1728"/>
            <w:shd w:val="clear" w:fill="B23A48"/>
          </w:tcPr>
          <w:p>
            <w:pPr>
              <w:jc w:val="center"/>
            </w:pPr>
            <w:r/>
            <w:r>
              <w:rPr>
                <w:rFonts w:ascii="Arial" w:hAnsi="Arial"/>
                <w:b/>
                <w:color w:val="FFFFFF"/>
                <w:sz w:val="16"/>
              </w:rPr>
              <w:t>High</w:t>
            </w:r>
          </w:p>
        </w:tc>
        <w:tc>
          <w:tcPr>
            <w:tcW w:type="dxa" w:w="2016"/>
          </w:tcPr>
          <w:p>
            <w:r/>
            <w:r>
              <w:rPr>
                <w:rFonts w:ascii="Arial" w:hAnsi="Arial"/>
                <w:b w:val="0"/>
                <w:sz w:val="16"/>
              </w:rPr>
              <w:t>[owner]</w:t>
            </w:r>
          </w:p>
        </w:tc>
        <w:tc>
          <w:tcPr>
            <w:tcW w:type="dxa" w:w="4032"/>
          </w:tcPr>
          <w:p>
            <w:r/>
            <w:r>
              <w:rPr>
                <w:rFonts w:ascii="Arial" w:hAnsi="Arial"/>
                <w:b w:val="0"/>
                <w:sz w:val="16"/>
              </w:rPr>
              <w:t>[action]</w:t>
            </w:r>
          </w:p>
        </w:tc>
      </w:tr>
      <w:tr>
        <w:tc>
          <w:tcPr>
            <w:tcW w:type="dxa" w:w="3744"/>
            <w:shd w:val="clear" w:fill="F4F7FB"/>
          </w:tcPr>
          <w:p>
            <w:r/>
            <w:r>
              <w:rPr>
                <w:rFonts w:ascii="Arial" w:hAnsi="Arial"/>
                <w:b w:val="0"/>
                <w:sz w:val="16"/>
              </w:rPr>
              <w:t>[risk 2]</w:t>
            </w:r>
          </w:p>
        </w:tc>
        <w:tc>
          <w:tcPr>
            <w:tcW w:type="dxa" w:w="1728"/>
            <w:shd w:val="clear" w:fill="F4F7FB"/>
            <w:shd w:val="clear" w:fill="D4B106"/>
          </w:tcPr>
          <w:p>
            <w:pPr>
              <w:jc w:val="center"/>
            </w:pPr>
            <w:r/>
            <w:r>
              <w:rPr>
                <w:rFonts w:ascii="Arial" w:hAnsi="Arial"/>
                <w:b/>
                <w:color w:val="FFFFFF"/>
                <w:sz w:val="16"/>
              </w:rPr>
              <w:t>Medium</w:t>
            </w:r>
          </w:p>
        </w:tc>
        <w:tc>
          <w:tcPr>
            <w:tcW w:type="dxa" w:w="2016"/>
            <w:shd w:val="clear" w:fill="F4F7FB"/>
          </w:tcPr>
          <w:p>
            <w:r/>
            <w:r>
              <w:rPr>
                <w:rFonts w:ascii="Arial" w:hAnsi="Arial"/>
                <w:b w:val="0"/>
                <w:sz w:val="16"/>
              </w:rPr>
              <w:t>[owner]</w:t>
            </w:r>
          </w:p>
        </w:tc>
        <w:tc>
          <w:tcPr>
            <w:tcW w:type="dxa" w:w="4032"/>
            <w:shd w:val="clear" w:fill="F4F7FB"/>
          </w:tcPr>
          <w:p>
            <w:r/>
            <w:r>
              <w:rPr>
                <w:rFonts w:ascii="Arial" w:hAnsi="Arial"/>
                <w:b w:val="0"/>
                <w:sz w:val="16"/>
              </w:rPr>
              <w:t>[action]</w:t>
            </w:r>
          </w:p>
        </w:tc>
      </w:tr>
    </w:tbl>
    <w:p>
      <w:pPr>
        <w:pStyle w:val="Heading2"/>
      </w:pPr>
      <w:r>
        <w:t>6. Outlook &amp; Decisions Sought</w:t>
      </w:r>
    </w:p>
    <w:p>
      <w:pPr>
        <w:pStyle w:val="ListBullet"/>
      </w:pPr>
      <w:r>
        <w:rPr>
          <w:sz w:val="19"/>
        </w:rPr>
        <w:t>[outlook]</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