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b/>
          <w:color w:val="1B4D89"/>
          <w:sz w:val="24"/>
        </w:rPr>
        <w:t>OUTLIERS CFO EXCELLENCE CENTRE™</w:t>
      </w:r>
    </w:p>
    <w:p>
      <w:pPr>
        <w:jc w:val="center"/>
      </w:pPr>
      <w:r>
        <w:rPr>
          <w:b/>
          <w:color w:val="10243F"/>
          <w:sz w:val="52"/>
        </w:rPr>
        <w:t>Tax Governance Toolkit</w:t>
      </w:r>
    </w:p>
    <w:p>
      <w:pPr>
        <w:jc w:val="center"/>
      </w:pPr>
      <w:r>
        <w:rPr>
          <w:color w:val="555555"/>
          <w:sz w:val="26"/>
        </w:rPr>
        <w:t>A Board-Level Tax Control Framework</w:t>
      </w:r>
    </w:p>
    <w:p/>
    <w:p>
      <w:pPr>
        <w:jc w:val="center"/>
      </w:pPr>
      <w:r>
        <w:rPr>
          <w:color w:val="555555"/>
          <w:sz w:val="20"/>
        </w:rPr>
        <w:t>Tax Excellence  ·  CFO / Board / Tax Lead  ·  Access Tier T2  ·  Edition 2026</w:t>
      </w:r>
    </w:p>
    <w:p>
      <w:pPr>
        <w:jc w:val="center"/>
      </w:pPr>
      <w:r>
        <w:rPr>
          <w:i/>
          <w:color w:val="555555"/>
          <w:sz w:val="18"/>
        </w:rPr>
        <w:t>Regime: Nigeria Tax Act 2025 (NTA 2025) &amp; Nigeria Tax Administration Act 2025 — administered by the Nigeria Revenue Service (NRS)</w:t>
      </w:r>
    </w:p>
    <w:p>
      <w:r>
        <w:br w:type="page"/>
      </w:r>
    </w:p>
    <w:p>
      <w:r>
        <w:rPr>
          <w:b/>
          <w:color w:val="B23A48"/>
          <w:sz w:val="21"/>
        </w:rPr>
        <w:t>⚠ IMPORTANT — VERIFICATION &amp; LEGAL STATUS</w:t>
      </w:r>
    </w:p>
    <w:p>
      <w:r>
        <w:rPr>
          <w:i/>
          <w:sz w:val="18"/>
        </w:rPr>
        <w:t>This resource is implementation content for management use; it is NOT legal or tax advice and is not a substitute for a licensed Nigerian tax practitioner (CITN). The Nigeria Tax Act 2025 took effect on 1 January 2026 and continues to be clarified by NRS regulations and circulars. Every rate, threshold, band and date stated here is INDICATIVE and must be verified against the enacted Acts and current NRS / State IRS guidance before reliance. The Nigeria Revenue Service (NRS) replaces the FIRS from 2026.</w:t>
      </w:r>
    </w:p>
    <w:p>
      <w:pPr>
        <w:pStyle w:val="Heading1"/>
      </w:pPr>
      <w:r>
        <w:t>1. Why Tax Governance</w:t>
      </w:r>
    </w:p>
    <w:p>
      <w:r>
        <w:rPr>
          <w:sz w:val="21"/>
        </w:rPr>
        <w:t>Tax governance is the system of ownership, policy, controls and oversight that keeps an enterprise compliant, manages tax risk to appetite, and captures legitimate value. Under the NTA 2025 self-assessment regime, the board and CFO carry clear accountability for the integrity of tax positions. This toolkit provides the framework, the operating model, the policy and the controls.</w:t>
      </w:r>
    </w:p>
    <w:p>
      <w:pPr>
        <w:pStyle w:val="Heading1"/>
      </w:pPr>
      <w:r>
        <w:t>2. Tax Governance Framework</w:t>
      </w:r>
    </w:p>
    <w:tbl>
      <w:tblPr>
        <w:tblStyle w:val="TableGrid"/>
        <w:tblW w:type="auto" w:w="0"/>
        <w:jc w:val="center"/>
        <w:tblLook w:firstColumn="1" w:firstRow="1" w:lastColumn="0" w:lastRow="0" w:noHBand="0" w:noVBand="1" w:val="04A0"/>
      </w:tblPr>
      <w:tblGrid>
        <w:gridCol w:w="4824"/>
        <w:gridCol w:w="4824"/>
      </w:tblGrid>
      <w:tr>
        <w:tc>
          <w:tcPr>
            <w:tcW w:type="dxa" w:w="3456"/>
            <w:shd w:val="clear" w:fill="1B4D89"/>
          </w:tcPr>
          <w:p>
            <w:r/>
            <w:r>
              <w:rPr>
                <w:rFonts w:ascii="Arial" w:hAnsi="Arial"/>
                <w:b/>
                <w:color w:val="FFFFFF"/>
                <w:sz w:val="18"/>
              </w:rPr>
              <w:t>Layer</w:t>
            </w:r>
          </w:p>
        </w:tc>
        <w:tc>
          <w:tcPr>
            <w:tcW w:type="dxa" w:w="8064"/>
            <w:shd w:val="clear" w:fill="1B4D89"/>
          </w:tcPr>
          <w:p>
            <w:r/>
            <w:r>
              <w:rPr>
                <w:rFonts w:ascii="Arial" w:hAnsi="Arial"/>
                <w:b/>
                <w:color w:val="FFFFFF"/>
                <w:sz w:val="18"/>
              </w:rPr>
              <w:t>Responsibility</w:t>
            </w:r>
          </w:p>
        </w:tc>
      </w:tr>
      <w:tr>
        <w:tc>
          <w:tcPr>
            <w:tcW w:type="dxa" w:w="3456"/>
          </w:tcPr>
          <w:p>
            <w:r/>
            <w:r>
              <w:rPr>
                <w:rFonts w:ascii="Arial" w:hAnsi="Arial"/>
                <w:b w:val="0"/>
                <w:sz w:val="18"/>
              </w:rPr>
              <w:t>Board / Audit Committee</w:t>
            </w:r>
          </w:p>
        </w:tc>
        <w:tc>
          <w:tcPr>
            <w:tcW w:type="dxa" w:w="8064"/>
          </w:tcPr>
          <w:p>
            <w:r/>
            <w:r>
              <w:rPr>
                <w:rFonts w:ascii="Arial" w:hAnsi="Arial"/>
                <w:b w:val="0"/>
                <w:sz w:val="18"/>
              </w:rPr>
              <w:t>Approves tax policy and risk appetite; oversees material positions and disputes.</w:t>
            </w:r>
          </w:p>
        </w:tc>
      </w:tr>
      <w:tr>
        <w:tc>
          <w:tcPr>
            <w:tcW w:type="dxa" w:w="3456"/>
            <w:shd w:val="clear" w:fill="F6F8FB"/>
          </w:tcPr>
          <w:p>
            <w:r/>
            <w:r>
              <w:rPr>
                <w:rFonts w:ascii="Arial" w:hAnsi="Arial"/>
                <w:b w:val="0"/>
                <w:sz w:val="18"/>
              </w:rPr>
              <w:t>CFO</w:t>
            </w:r>
          </w:p>
        </w:tc>
        <w:tc>
          <w:tcPr>
            <w:tcW w:type="dxa" w:w="8064"/>
            <w:shd w:val="clear" w:fill="F6F8FB"/>
          </w:tcPr>
          <w:p>
            <w:r/>
            <w:r>
              <w:rPr>
                <w:rFonts w:ascii="Arial" w:hAnsi="Arial"/>
                <w:b w:val="0"/>
                <w:sz w:val="18"/>
              </w:rPr>
              <w:t>Owns the tax strategy; ensures resources, controls and reporting.</w:t>
            </w:r>
          </w:p>
        </w:tc>
      </w:tr>
      <w:tr>
        <w:tc>
          <w:tcPr>
            <w:tcW w:type="dxa" w:w="3456"/>
          </w:tcPr>
          <w:p>
            <w:r/>
            <w:r>
              <w:rPr>
                <w:rFonts w:ascii="Arial" w:hAnsi="Arial"/>
                <w:b w:val="0"/>
                <w:sz w:val="18"/>
              </w:rPr>
              <w:t>Head of Tax / Tax Lead</w:t>
            </w:r>
          </w:p>
        </w:tc>
        <w:tc>
          <w:tcPr>
            <w:tcW w:type="dxa" w:w="8064"/>
          </w:tcPr>
          <w:p>
            <w:r/>
            <w:r>
              <w:rPr>
                <w:rFonts w:ascii="Arial" w:hAnsi="Arial"/>
                <w:b w:val="0"/>
                <w:sz w:val="18"/>
              </w:rPr>
              <w:t>Runs compliance, planning, documentation and authority relationships.</w:t>
            </w:r>
          </w:p>
        </w:tc>
      </w:tr>
      <w:tr>
        <w:tc>
          <w:tcPr>
            <w:tcW w:type="dxa" w:w="3456"/>
            <w:shd w:val="clear" w:fill="F6F8FB"/>
          </w:tcPr>
          <w:p>
            <w:r/>
            <w:r>
              <w:rPr>
                <w:rFonts w:ascii="Arial" w:hAnsi="Arial"/>
                <w:b w:val="0"/>
                <w:sz w:val="18"/>
              </w:rPr>
              <w:t>Finance / Payroll / AP</w:t>
            </w:r>
          </w:p>
        </w:tc>
        <w:tc>
          <w:tcPr>
            <w:tcW w:type="dxa" w:w="8064"/>
            <w:shd w:val="clear" w:fill="F6F8FB"/>
          </w:tcPr>
          <w:p>
            <w:r/>
            <w:r>
              <w:rPr>
                <w:rFonts w:ascii="Arial" w:hAnsi="Arial"/>
                <w:b w:val="0"/>
                <w:sz w:val="18"/>
              </w:rPr>
              <w:t>Execute VAT, PAYE, WHT and related processes within controls.</w:t>
            </w:r>
          </w:p>
        </w:tc>
      </w:tr>
      <w:tr>
        <w:tc>
          <w:tcPr>
            <w:tcW w:type="dxa" w:w="3456"/>
          </w:tcPr>
          <w:p>
            <w:r/>
            <w:r>
              <w:rPr>
                <w:rFonts w:ascii="Arial" w:hAnsi="Arial"/>
                <w:b w:val="0"/>
                <w:sz w:val="18"/>
              </w:rPr>
              <w:t>Internal Audit</w:t>
            </w:r>
          </w:p>
        </w:tc>
        <w:tc>
          <w:tcPr>
            <w:tcW w:type="dxa" w:w="8064"/>
          </w:tcPr>
          <w:p>
            <w:r/>
            <w:r>
              <w:rPr>
                <w:rFonts w:ascii="Arial" w:hAnsi="Arial"/>
                <w:b w:val="0"/>
                <w:sz w:val="18"/>
              </w:rPr>
              <w:t>Provides independent assurance over the tax control framework.</w:t>
            </w:r>
          </w:p>
        </w:tc>
      </w:tr>
    </w:tbl>
    <w:p>
      <w:pPr>
        <w:pStyle w:val="Heading1"/>
      </w:pPr>
      <w:r>
        <w:t>3. RACI for Core Tax Obligations</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2880"/>
            <w:shd w:val="clear" w:fill="1B4D89"/>
          </w:tcPr>
          <w:p>
            <w:r/>
            <w:r>
              <w:rPr>
                <w:rFonts w:ascii="Arial" w:hAnsi="Arial"/>
                <w:b/>
                <w:color w:val="FFFFFF"/>
                <w:sz w:val="18"/>
              </w:rPr>
              <w:t>Obligation</w:t>
            </w:r>
          </w:p>
        </w:tc>
        <w:tc>
          <w:tcPr>
            <w:tcW w:type="dxa" w:w="2160"/>
            <w:shd w:val="clear" w:fill="1B4D89"/>
          </w:tcPr>
          <w:p>
            <w:r/>
            <w:r>
              <w:rPr>
                <w:rFonts w:ascii="Arial" w:hAnsi="Arial"/>
                <w:b/>
                <w:color w:val="FFFFFF"/>
                <w:sz w:val="18"/>
              </w:rPr>
              <w:t>Responsible</w:t>
            </w:r>
          </w:p>
        </w:tc>
        <w:tc>
          <w:tcPr>
            <w:tcW w:type="dxa" w:w="2160"/>
            <w:shd w:val="clear" w:fill="1B4D89"/>
          </w:tcPr>
          <w:p>
            <w:r/>
            <w:r>
              <w:rPr>
                <w:rFonts w:ascii="Arial" w:hAnsi="Arial"/>
                <w:b/>
                <w:color w:val="FFFFFF"/>
                <w:sz w:val="18"/>
              </w:rPr>
              <w:t>Accountable</w:t>
            </w:r>
          </w:p>
        </w:tc>
        <w:tc>
          <w:tcPr>
            <w:tcW w:type="dxa" w:w="2160"/>
            <w:shd w:val="clear" w:fill="1B4D89"/>
          </w:tcPr>
          <w:p>
            <w:r/>
            <w:r>
              <w:rPr>
                <w:rFonts w:ascii="Arial" w:hAnsi="Arial"/>
                <w:b/>
                <w:color w:val="FFFFFF"/>
                <w:sz w:val="18"/>
              </w:rPr>
              <w:t>Consulted</w:t>
            </w:r>
          </w:p>
        </w:tc>
        <w:tc>
          <w:tcPr>
            <w:tcW w:type="dxa" w:w="2160"/>
            <w:shd w:val="clear" w:fill="1B4D89"/>
          </w:tcPr>
          <w:p>
            <w:r/>
            <w:r>
              <w:rPr>
                <w:rFonts w:ascii="Arial" w:hAnsi="Arial"/>
                <w:b/>
                <w:color w:val="FFFFFF"/>
                <w:sz w:val="18"/>
              </w:rPr>
              <w:t>Informed</w:t>
            </w:r>
          </w:p>
        </w:tc>
      </w:tr>
      <w:tr>
        <w:tc>
          <w:tcPr>
            <w:tcW w:type="dxa" w:w="2880"/>
          </w:tcPr>
          <w:p>
            <w:r/>
            <w:r>
              <w:rPr>
                <w:rFonts w:ascii="Arial" w:hAnsi="Arial"/>
                <w:b w:val="0"/>
                <w:sz w:val="18"/>
              </w:rPr>
              <w:t>CIT &amp; Development Levy</w:t>
            </w:r>
          </w:p>
        </w:tc>
        <w:tc>
          <w:tcPr>
            <w:tcW w:type="dxa" w:w="2160"/>
          </w:tcPr>
          <w:p>
            <w:r/>
            <w:r>
              <w:rPr>
                <w:rFonts w:ascii="Arial" w:hAnsi="Arial"/>
                <w:b w:val="0"/>
                <w:sz w:val="18"/>
              </w:rPr>
              <w:t>Tax Lead</w:t>
            </w:r>
          </w:p>
        </w:tc>
        <w:tc>
          <w:tcPr>
            <w:tcW w:type="dxa" w:w="2160"/>
          </w:tcPr>
          <w:p>
            <w:r/>
            <w:r>
              <w:rPr>
                <w:rFonts w:ascii="Arial" w:hAnsi="Arial"/>
                <w:b w:val="0"/>
                <w:sz w:val="18"/>
              </w:rPr>
              <w:t>CFO</w:t>
            </w:r>
          </w:p>
        </w:tc>
        <w:tc>
          <w:tcPr>
            <w:tcW w:type="dxa" w:w="2160"/>
          </w:tcPr>
          <w:p>
            <w:r/>
            <w:r>
              <w:rPr>
                <w:rFonts w:ascii="Arial" w:hAnsi="Arial"/>
                <w:b w:val="0"/>
                <w:sz w:val="18"/>
              </w:rPr>
              <w:t>Advisor</w:t>
            </w:r>
          </w:p>
        </w:tc>
        <w:tc>
          <w:tcPr>
            <w:tcW w:type="dxa" w:w="2160"/>
          </w:tcPr>
          <w:p>
            <w:r/>
            <w:r>
              <w:rPr>
                <w:rFonts w:ascii="Arial" w:hAnsi="Arial"/>
                <w:b w:val="0"/>
                <w:sz w:val="18"/>
              </w:rPr>
              <w:t>Board</w:t>
            </w:r>
          </w:p>
        </w:tc>
      </w:tr>
      <w:tr>
        <w:tc>
          <w:tcPr>
            <w:tcW w:type="dxa" w:w="2880"/>
            <w:shd w:val="clear" w:fill="F6F8FB"/>
          </w:tcPr>
          <w:p>
            <w:r/>
            <w:r>
              <w:rPr>
                <w:rFonts w:ascii="Arial" w:hAnsi="Arial"/>
                <w:b w:val="0"/>
                <w:sz w:val="18"/>
              </w:rPr>
              <w:t>VAT</w:t>
            </w:r>
          </w:p>
        </w:tc>
        <w:tc>
          <w:tcPr>
            <w:tcW w:type="dxa" w:w="2160"/>
            <w:shd w:val="clear" w:fill="F6F8FB"/>
          </w:tcPr>
          <w:p>
            <w:r/>
            <w:r>
              <w:rPr>
                <w:rFonts w:ascii="Arial" w:hAnsi="Arial"/>
                <w:b w:val="0"/>
                <w:sz w:val="18"/>
              </w:rPr>
              <w:t>FC</w:t>
            </w:r>
          </w:p>
        </w:tc>
        <w:tc>
          <w:tcPr>
            <w:tcW w:type="dxa" w:w="2160"/>
            <w:shd w:val="clear" w:fill="F6F8FB"/>
          </w:tcPr>
          <w:p>
            <w:r/>
            <w:r>
              <w:rPr>
                <w:rFonts w:ascii="Arial" w:hAnsi="Arial"/>
                <w:b w:val="0"/>
                <w:sz w:val="18"/>
              </w:rPr>
              <w:t>Tax Lead</w:t>
            </w:r>
          </w:p>
        </w:tc>
        <w:tc>
          <w:tcPr>
            <w:tcW w:type="dxa" w:w="2160"/>
            <w:shd w:val="clear" w:fill="F6F8FB"/>
          </w:tcPr>
          <w:p>
            <w:r/>
            <w:r>
              <w:rPr>
                <w:rFonts w:ascii="Arial" w:hAnsi="Arial"/>
                <w:b w:val="0"/>
                <w:sz w:val="18"/>
              </w:rPr>
              <w:t>Advisor</w:t>
            </w:r>
          </w:p>
        </w:tc>
        <w:tc>
          <w:tcPr>
            <w:tcW w:type="dxa" w:w="2160"/>
            <w:shd w:val="clear" w:fill="F6F8FB"/>
          </w:tcPr>
          <w:p>
            <w:r/>
            <w:r>
              <w:rPr>
                <w:rFonts w:ascii="Arial" w:hAnsi="Arial"/>
                <w:b w:val="0"/>
                <w:sz w:val="18"/>
              </w:rPr>
              <w:t>CFO</w:t>
            </w:r>
          </w:p>
        </w:tc>
      </w:tr>
      <w:tr>
        <w:tc>
          <w:tcPr>
            <w:tcW w:type="dxa" w:w="2880"/>
          </w:tcPr>
          <w:p>
            <w:r/>
            <w:r>
              <w:rPr>
                <w:rFonts w:ascii="Arial" w:hAnsi="Arial"/>
                <w:b w:val="0"/>
                <w:sz w:val="18"/>
              </w:rPr>
              <w:t>PAYE</w:t>
            </w:r>
          </w:p>
        </w:tc>
        <w:tc>
          <w:tcPr>
            <w:tcW w:type="dxa" w:w="2160"/>
          </w:tcPr>
          <w:p>
            <w:r/>
            <w:r>
              <w:rPr>
                <w:rFonts w:ascii="Arial" w:hAnsi="Arial"/>
                <w:b w:val="0"/>
                <w:sz w:val="18"/>
              </w:rPr>
              <w:t>Payroll</w:t>
            </w:r>
          </w:p>
        </w:tc>
        <w:tc>
          <w:tcPr>
            <w:tcW w:type="dxa" w:w="2160"/>
          </w:tcPr>
          <w:p>
            <w:r/>
            <w:r>
              <w:rPr>
                <w:rFonts w:ascii="Arial" w:hAnsi="Arial"/>
                <w:b w:val="0"/>
                <w:sz w:val="18"/>
              </w:rPr>
              <w:t>FC</w:t>
            </w:r>
          </w:p>
        </w:tc>
        <w:tc>
          <w:tcPr>
            <w:tcW w:type="dxa" w:w="2160"/>
          </w:tcPr>
          <w:p>
            <w:r/>
            <w:r>
              <w:rPr>
                <w:rFonts w:ascii="Arial" w:hAnsi="Arial"/>
                <w:b w:val="0"/>
                <w:sz w:val="18"/>
              </w:rPr>
              <w:t>HR</w:t>
            </w:r>
          </w:p>
        </w:tc>
        <w:tc>
          <w:tcPr>
            <w:tcW w:type="dxa" w:w="2160"/>
          </w:tcPr>
          <w:p>
            <w:r/>
            <w:r>
              <w:rPr>
                <w:rFonts w:ascii="Arial" w:hAnsi="Arial"/>
                <w:b w:val="0"/>
                <w:sz w:val="18"/>
              </w:rPr>
              <w:t>Tax Lead</w:t>
            </w:r>
          </w:p>
        </w:tc>
      </w:tr>
      <w:tr>
        <w:tc>
          <w:tcPr>
            <w:tcW w:type="dxa" w:w="2880"/>
            <w:shd w:val="clear" w:fill="F6F8FB"/>
          </w:tcPr>
          <w:p>
            <w:r/>
            <w:r>
              <w:rPr>
                <w:rFonts w:ascii="Arial" w:hAnsi="Arial"/>
                <w:b w:val="0"/>
                <w:sz w:val="18"/>
              </w:rPr>
              <w:t>WHT</w:t>
            </w:r>
          </w:p>
        </w:tc>
        <w:tc>
          <w:tcPr>
            <w:tcW w:type="dxa" w:w="2160"/>
            <w:shd w:val="clear" w:fill="F6F8FB"/>
          </w:tcPr>
          <w:p>
            <w:r/>
            <w:r>
              <w:rPr>
                <w:rFonts w:ascii="Arial" w:hAnsi="Arial"/>
                <w:b w:val="0"/>
                <w:sz w:val="18"/>
              </w:rPr>
              <w:t>AP</w:t>
            </w:r>
          </w:p>
        </w:tc>
        <w:tc>
          <w:tcPr>
            <w:tcW w:type="dxa" w:w="2160"/>
            <w:shd w:val="clear" w:fill="F6F8FB"/>
          </w:tcPr>
          <w:p>
            <w:r/>
            <w:r>
              <w:rPr>
                <w:rFonts w:ascii="Arial" w:hAnsi="Arial"/>
                <w:b w:val="0"/>
                <w:sz w:val="18"/>
              </w:rPr>
              <w:t>Tax Lead</w:t>
            </w:r>
          </w:p>
        </w:tc>
        <w:tc>
          <w:tcPr>
            <w:tcW w:type="dxa" w:w="2160"/>
            <w:shd w:val="clear" w:fill="F6F8FB"/>
          </w:tcPr>
          <w:p>
            <w:r/>
            <w:r>
              <w:rPr>
                <w:rFonts w:ascii="Arial" w:hAnsi="Arial"/>
                <w:b w:val="0"/>
                <w:sz w:val="18"/>
              </w:rPr>
              <w:t>FC</w:t>
            </w:r>
          </w:p>
        </w:tc>
        <w:tc>
          <w:tcPr>
            <w:tcW w:type="dxa" w:w="2160"/>
            <w:shd w:val="clear" w:fill="F6F8FB"/>
          </w:tcPr>
          <w:p>
            <w:r/>
            <w:r>
              <w:rPr>
                <w:rFonts w:ascii="Arial" w:hAnsi="Arial"/>
                <w:b w:val="0"/>
                <w:sz w:val="18"/>
              </w:rPr>
              <w:t>CFO</w:t>
            </w:r>
          </w:p>
        </w:tc>
      </w:tr>
      <w:tr>
        <w:tc>
          <w:tcPr>
            <w:tcW w:type="dxa" w:w="2880"/>
          </w:tcPr>
          <w:p>
            <w:r/>
            <w:r>
              <w:rPr>
                <w:rFonts w:ascii="Arial" w:hAnsi="Arial"/>
                <w:b w:val="0"/>
                <w:sz w:val="18"/>
              </w:rPr>
              <w:t>Transfer Pricing</w:t>
            </w:r>
          </w:p>
        </w:tc>
        <w:tc>
          <w:tcPr>
            <w:tcW w:type="dxa" w:w="2160"/>
          </w:tcPr>
          <w:p>
            <w:r/>
            <w:r>
              <w:rPr>
                <w:rFonts w:ascii="Arial" w:hAnsi="Arial"/>
                <w:b w:val="0"/>
                <w:sz w:val="18"/>
              </w:rPr>
              <w:t>Tax Lead</w:t>
            </w:r>
          </w:p>
        </w:tc>
        <w:tc>
          <w:tcPr>
            <w:tcW w:type="dxa" w:w="2160"/>
          </w:tcPr>
          <w:p>
            <w:r/>
            <w:r>
              <w:rPr>
                <w:rFonts w:ascii="Arial" w:hAnsi="Arial"/>
                <w:b w:val="0"/>
                <w:sz w:val="18"/>
              </w:rPr>
              <w:t>CFO</w:t>
            </w:r>
          </w:p>
        </w:tc>
        <w:tc>
          <w:tcPr>
            <w:tcW w:type="dxa" w:w="2160"/>
          </w:tcPr>
          <w:p>
            <w:r/>
            <w:r>
              <w:rPr>
                <w:rFonts w:ascii="Arial" w:hAnsi="Arial"/>
                <w:b w:val="0"/>
                <w:sz w:val="18"/>
              </w:rPr>
              <w:t>TP Advisor</w:t>
            </w:r>
          </w:p>
        </w:tc>
        <w:tc>
          <w:tcPr>
            <w:tcW w:type="dxa" w:w="2160"/>
          </w:tcPr>
          <w:p>
            <w:r/>
            <w:r>
              <w:rPr>
                <w:rFonts w:ascii="Arial" w:hAnsi="Arial"/>
                <w:b w:val="0"/>
                <w:sz w:val="18"/>
              </w:rPr>
              <w:t>Board</w:t>
            </w:r>
          </w:p>
        </w:tc>
      </w:tr>
      <w:tr>
        <w:tc>
          <w:tcPr>
            <w:tcW w:type="dxa" w:w="2880"/>
            <w:shd w:val="clear" w:fill="F6F8FB"/>
          </w:tcPr>
          <w:p>
            <w:r/>
            <w:r>
              <w:rPr>
                <w:rFonts w:ascii="Arial" w:hAnsi="Arial"/>
                <w:b w:val="0"/>
                <w:sz w:val="18"/>
              </w:rPr>
              <w:t>E-invoicing</w:t>
            </w:r>
          </w:p>
        </w:tc>
        <w:tc>
          <w:tcPr>
            <w:tcW w:type="dxa" w:w="2160"/>
            <w:shd w:val="clear" w:fill="F6F8FB"/>
          </w:tcPr>
          <w:p>
            <w:r/>
            <w:r>
              <w:rPr>
                <w:rFonts w:ascii="Arial" w:hAnsi="Arial"/>
                <w:b w:val="0"/>
                <w:sz w:val="18"/>
              </w:rPr>
              <w:t>Tax/IT</w:t>
            </w:r>
          </w:p>
        </w:tc>
        <w:tc>
          <w:tcPr>
            <w:tcW w:type="dxa" w:w="2160"/>
            <w:shd w:val="clear" w:fill="F6F8FB"/>
          </w:tcPr>
          <w:p>
            <w:r/>
            <w:r>
              <w:rPr>
                <w:rFonts w:ascii="Arial" w:hAnsi="Arial"/>
                <w:b w:val="0"/>
                <w:sz w:val="18"/>
              </w:rPr>
              <w:t>CFO</w:t>
            </w:r>
          </w:p>
        </w:tc>
        <w:tc>
          <w:tcPr>
            <w:tcW w:type="dxa" w:w="2160"/>
            <w:shd w:val="clear" w:fill="F6F8FB"/>
          </w:tcPr>
          <w:p>
            <w:r/>
            <w:r>
              <w:rPr>
                <w:rFonts w:ascii="Arial" w:hAnsi="Arial"/>
                <w:b w:val="0"/>
                <w:sz w:val="18"/>
              </w:rPr>
              <w:t>Provider</w:t>
            </w:r>
          </w:p>
        </w:tc>
        <w:tc>
          <w:tcPr>
            <w:tcW w:type="dxa" w:w="2160"/>
            <w:shd w:val="clear" w:fill="F6F8FB"/>
          </w:tcPr>
          <w:p>
            <w:r/>
            <w:r>
              <w:rPr>
                <w:rFonts w:ascii="Arial" w:hAnsi="Arial"/>
                <w:b w:val="0"/>
                <w:sz w:val="18"/>
              </w:rPr>
              <w:t>FC</w:t>
            </w:r>
          </w:p>
        </w:tc>
      </w:tr>
    </w:tbl>
    <w:p>
      <w:pPr>
        <w:pStyle w:val="Heading1"/>
      </w:pPr>
      <w:r>
        <w:t>4. Tax Policy Template (core sections)</w:t>
      </w:r>
    </w:p>
    <w:p>
      <w:pPr>
        <w:pStyle w:val="ListBullet"/>
      </w:pPr>
      <w:r>
        <w:rPr>
          <w:sz w:val="20"/>
        </w:rPr>
        <w:t>Objective and scope (entities and taxes covered).</w:t>
      </w:r>
    </w:p>
    <w:p>
      <w:pPr>
        <w:pStyle w:val="ListBullet"/>
      </w:pPr>
      <w:r>
        <w:rPr>
          <w:sz w:val="20"/>
        </w:rPr>
        <w:t>Tax strategy and attitude to tax planning (low-risk, defensible positions only).</w:t>
      </w:r>
    </w:p>
    <w:p>
      <w:pPr>
        <w:pStyle w:val="ListBullet"/>
      </w:pPr>
      <w:r>
        <w:rPr>
          <w:sz w:val="20"/>
        </w:rPr>
        <w:t>Roles, delegated authorities and approval thresholds.</w:t>
      </w:r>
    </w:p>
    <w:p>
      <w:pPr>
        <w:pStyle w:val="ListBullet"/>
      </w:pPr>
      <w:r>
        <w:rPr>
          <w:sz w:val="20"/>
        </w:rPr>
        <w:t>Compliance commitments (accurate, timely filing and payment).</w:t>
      </w:r>
    </w:p>
    <w:p>
      <w:pPr>
        <w:pStyle w:val="ListBullet"/>
      </w:pPr>
      <w:r>
        <w:rPr>
          <w:sz w:val="20"/>
        </w:rPr>
        <w:t>Documentation and record-retention standards.</w:t>
      </w:r>
    </w:p>
    <w:p>
      <w:pPr>
        <w:pStyle w:val="ListBullet"/>
      </w:pPr>
      <w:r>
        <w:rPr>
          <w:sz w:val="20"/>
        </w:rPr>
        <w:t>Engagement with the NRS and State IRS (transparency, voluntary disclosure).</w:t>
      </w:r>
    </w:p>
    <w:p>
      <w:pPr>
        <w:pStyle w:val="ListBullet"/>
      </w:pPr>
      <w:r>
        <w:rPr>
          <w:sz w:val="20"/>
        </w:rPr>
        <w:t>Use of advisors and the basis for taking positions.</w:t>
      </w:r>
    </w:p>
    <w:p>
      <w:pPr>
        <w:pStyle w:val="ListBullet"/>
      </w:pPr>
      <w:r>
        <w:rPr>
          <w:sz w:val="20"/>
        </w:rPr>
        <w:t>Reporting to the board and escalation of material matters.</w:t>
      </w:r>
    </w:p>
    <w:p>
      <w:pPr>
        <w:pStyle w:val="Heading1"/>
      </w:pPr>
      <w:r>
        <w:t>5. Tax Risk Appetite Statement (template)</w:t>
      </w:r>
    </w:p>
    <w:p>
      <w:r>
        <w:rPr>
          <w:sz w:val="21"/>
        </w:rPr>
        <w:t>“The organisation adopts a LOW appetite for tax risk. We will: file accurately and on time; take only well-supported, defensible positions; maintain contemporaneous documentation; and disclose uncertainty to the board. We will not enter arrangements whose main purpose is to obtain a tax advantage contrary to the law's intent.” Quantify tolerances where possible (e.g. zero late filings; no position without written support; material uncertain positions escalated to the Audit Committee).</w:t>
      </w:r>
    </w:p>
    <w:p>
      <w:pPr>
        <w:pStyle w:val="Heading1"/>
      </w:pPr>
      <w:r>
        <w:t>6. Tax Control Framework (TCF)</w:t>
      </w:r>
    </w:p>
    <w:tbl>
      <w:tblPr>
        <w:tblStyle w:val="TableGrid"/>
        <w:tblW w:type="auto" w:w="0"/>
        <w:jc w:val="center"/>
        <w:tblLook w:firstColumn="1" w:firstRow="1" w:lastColumn="0" w:lastRow="0" w:noHBand="0" w:noVBand="1" w:val="04A0"/>
      </w:tblPr>
      <w:tblGrid>
        <w:gridCol w:w="4824"/>
        <w:gridCol w:w="4824"/>
      </w:tblGrid>
      <w:tr>
        <w:tc>
          <w:tcPr>
            <w:tcW w:type="dxa" w:w="2016"/>
            <w:shd w:val="clear" w:fill="1B4D89"/>
          </w:tcPr>
          <w:p>
            <w:r/>
            <w:r>
              <w:rPr>
                <w:rFonts w:ascii="Arial" w:hAnsi="Arial"/>
                <w:b/>
                <w:color w:val="FFFFFF"/>
                <w:sz w:val="18"/>
              </w:rPr>
              <w:t>Tax</w:t>
            </w:r>
          </w:p>
        </w:tc>
        <w:tc>
          <w:tcPr>
            <w:tcW w:type="dxa" w:w="9504"/>
            <w:shd w:val="clear" w:fill="1B4D89"/>
          </w:tcPr>
          <w:p>
            <w:r/>
            <w:r>
              <w:rPr>
                <w:rFonts w:ascii="Arial" w:hAnsi="Arial"/>
                <w:b/>
                <w:color w:val="FFFFFF"/>
                <w:sz w:val="18"/>
              </w:rPr>
              <w:t>Key controls</w:t>
            </w:r>
          </w:p>
        </w:tc>
      </w:tr>
      <w:tr>
        <w:tc>
          <w:tcPr>
            <w:tcW w:type="dxa" w:w="2016"/>
          </w:tcPr>
          <w:p>
            <w:r/>
            <w:r>
              <w:rPr>
                <w:rFonts w:ascii="Arial" w:hAnsi="Arial"/>
                <w:b w:val="0"/>
                <w:sz w:val="18"/>
              </w:rPr>
              <w:t>CIT/Dev Levy</w:t>
            </w:r>
          </w:p>
        </w:tc>
        <w:tc>
          <w:tcPr>
            <w:tcW w:type="dxa" w:w="9504"/>
          </w:tcPr>
          <w:p>
            <w:r/>
            <w:r>
              <w:rPr>
                <w:rFonts w:ascii="Arial" w:hAnsi="Arial"/>
                <w:b w:val="0"/>
                <w:sz w:val="18"/>
              </w:rPr>
              <w:t>Year-end tax computation review; capital-allowance support; classification re-test.</w:t>
            </w:r>
          </w:p>
        </w:tc>
      </w:tr>
      <w:tr>
        <w:tc>
          <w:tcPr>
            <w:tcW w:type="dxa" w:w="2016"/>
            <w:shd w:val="clear" w:fill="F6F8FB"/>
          </w:tcPr>
          <w:p>
            <w:r/>
            <w:r>
              <w:rPr>
                <w:rFonts w:ascii="Arial" w:hAnsi="Arial"/>
                <w:b w:val="0"/>
                <w:sz w:val="18"/>
              </w:rPr>
              <w:t>VAT</w:t>
            </w:r>
          </w:p>
        </w:tc>
        <w:tc>
          <w:tcPr>
            <w:tcW w:type="dxa" w:w="9504"/>
            <w:shd w:val="clear" w:fill="F6F8FB"/>
          </w:tcPr>
          <w:p>
            <w:r/>
            <w:r>
              <w:rPr>
                <w:rFonts w:ascii="Arial" w:hAnsi="Arial"/>
                <w:b w:val="0"/>
                <w:sz w:val="18"/>
              </w:rPr>
              <w:t>Supply-type mapping; input-VAT recovery &amp; apportionment review; e-invoice reconciliation.</w:t>
            </w:r>
          </w:p>
        </w:tc>
      </w:tr>
      <w:tr>
        <w:tc>
          <w:tcPr>
            <w:tcW w:type="dxa" w:w="2016"/>
          </w:tcPr>
          <w:p>
            <w:r/>
            <w:r>
              <w:rPr>
                <w:rFonts w:ascii="Arial" w:hAnsi="Arial"/>
                <w:b w:val="0"/>
                <w:sz w:val="18"/>
              </w:rPr>
              <w:t>PAYE</w:t>
            </w:r>
          </w:p>
        </w:tc>
        <w:tc>
          <w:tcPr>
            <w:tcW w:type="dxa" w:w="9504"/>
          </w:tcPr>
          <w:p>
            <w:r/>
            <w:r>
              <w:rPr>
                <w:rFonts w:ascii="Arial" w:hAnsi="Arial"/>
                <w:b w:val="0"/>
                <w:sz w:val="18"/>
              </w:rPr>
              <w:t>Band/relief configuration sign-off; residence mapping; monthly reconciliation.</w:t>
            </w:r>
          </w:p>
        </w:tc>
      </w:tr>
      <w:tr>
        <w:tc>
          <w:tcPr>
            <w:tcW w:type="dxa" w:w="2016"/>
            <w:shd w:val="clear" w:fill="F6F8FB"/>
          </w:tcPr>
          <w:p>
            <w:r/>
            <w:r>
              <w:rPr>
                <w:rFonts w:ascii="Arial" w:hAnsi="Arial"/>
                <w:b w:val="0"/>
                <w:sz w:val="18"/>
              </w:rPr>
              <w:t>WHT</w:t>
            </w:r>
          </w:p>
        </w:tc>
        <w:tc>
          <w:tcPr>
            <w:tcW w:type="dxa" w:w="9504"/>
            <w:shd w:val="clear" w:fill="F6F8FB"/>
          </w:tcPr>
          <w:p>
            <w:r/>
            <w:r>
              <w:rPr>
                <w:rFonts w:ascii="Arial" w:hAnsi="Arial"/>
                <w:b w:val="0"/>
                <w:sz w:val="18"/>
              </w:rPr>
              <w:t>Pre-payment rate check; remittance calendar; credit-note issuance log.</w:t>
            </w:r>
          </w:p>
        </w:tc>
      </w:tr>
      <w:tr>
        <w:tc>
          <w:tcPr>
            <w:tcW w:type="dxa" w:w="2016"/>
          </w:tcPr>
          <w:p>
            <w:r/>
            <w:r>
              <w:rPr>
                <w:rFonts w:ascii="Arial" w:hAnsi="Arial"/>
                <w:b w:val="0"/>
                <w:sz w:val="18"/>
              </w:rPr>
              <w:t>TP</w:t>
            </w:r>
          </w:p>
        </w:tc>
        <w:tc>
          <w:tcPr>
            <w:tcW w:type="dxa" w:w="9504"/>
          </w:tcPr>
          <w:p>
            <w:r/>
            <w:r>
              <w:rPr>
                <w:rFonts w:ascii="Arial" w:hAnsi="Arial"/>
                <w:b w:val="0"/>
                <w:sz w:val="18"/>
              </w:rPr>
              <w:t>Contemporaneous documentation; annual benchmarking refresh; declaration filing.</w:t>
            </w:r>
          </w:p>
        </w:tc>
      </w:tr>
      <w:tr>
        <w:tc>
          <w:tcPr>
            <w:tcW w:type="dxa" w:w="2016"/>
            <w:shd w:val="clear" w:fill="F6F8FB"/>
          </w:tcPr>
          <w:p>
            <w:r/>
            <w:r>
              <w:rPr>
                <w:rFonts w:ascii="Arial" w:hAnsi="Arial"/>
                <w:b w:val="0"/>
                <w:sz w:val="18"/>
              </w:rPr>
              <w:t>All</w:t>
            </w:r>
          </w:p>
        </w:tc>
        <w:tc>
          <w:tcPr>
            <w:tcW w:type="dxa" w:w="9504"/>
            <w:shd w:val="clear" w:fill="F6F8FB"/>
          </w:tcPr>
          <w:p>
            <w:r/>
            <w:r>
              <w:rPr>
                <w:rFonts w:ascii="Arial" w:hAnsi="Arial"/>
                <w:b w:val="0"/>
                <w:sz w:val="18"/>
              </w:rPr>
              <w:t>Compliance calendar with owners; segregation of duties; audit file maintenance.</w:t>
            </w:r>
          </w:p>
        </w:tc>
      </w:tr>
    </w:tbl>
    <w:p>
      <w:pPr>
        <w:pStyle w:val="Heading1"/>
      </w:pPr>
      <w:r>
        <w:t>7. Documentation &amp; Evidence Standards</w:t>
      </w:r>
    </w:p>
    <w:p>
      <w:pPr>
        <w:pStyle w:val="ListBullet"/>
      </w:pPr>
      <w:r>
        <w:rPr>
          <w:sz w:val="20"/>
        </w:rPr>
        <w:t>Every position supported by written analysis or advice.</w:t>
      </w:r>
    </w:p>
    <w:p>
      <w:pPr>
        <w:pStyle w:val="ListBullet"/>
      </w:pPr>
      <w:r>
        <w:rPr>
          <w:sz w:val="20"/>
        </w:rPr>
        <w:t>Source records retained for the statutory period.</w:t>
      </w:r>
    </w:p>
    <w:p>
      <w:pPr>
        <w:pStyle w:val="ListBullet"/>
      </w:pPr>
      <w:r>
        <w:rPr>
          <w:sz w:val="20"/>
        </w:rPr>
        <w:t>Computations independently reviewed before filing.</w:t>
      </w:r>
    </w:p>
    <w:p>
      <w:pPr>
        <w:pStyle w:val="ListBullet"/>
      </w:pPr>
      <w:r>
        <w:rPr>
          <w:sz w:val="20"/>
        </w:rPr>
        <w:t>Continuous audit file maintained for NRS monitoring.</w:t>
      </w:r>
    </w:p>
    <w:p>
      <w:pPr>
        <w:pStyle w:val="Heading1"/>
      </w:pPr>
      <w:r>
        <w:t>8. Escalation &amp; Disclosure Protocol</w:t>
      </w:r>
    </w:p>
    <w:p>
      <w:r>
        <w:rPr>
          <w:sz w:val="21"/>
        </w:rPr>
        <w:t>Define triggers (material uncertain position, audit notice, suspected error, threshold breach), the escalation path (Tax Lead → CFO → Audit Committee), timelines, and the voluntary-disclosure decision process.</w:t>
      </w:r>
    </w:p>
    <w:p>
      <w:pPr>
        <w:pStyle w:val="Heading1"/>
      </w:pPr>
      <w:r>
        <w:t>9. Annual Tax-Governance Self-Review</w:t>
      </w:r>
    </w:p>
    <w:p>
      <w:pPr>
        <w:ind w:left="360"/>
      </w:pPr>
      <w:r>
        <w:rPr>
          <w:sz w:val="20"/>
        </w:rPr>
        <w:t>☐  Tax policy reviewed and re-approved by the board.</w:t>
      </w:r>
    </w:p>
    <w:p>
      <w:pPr>
        <w:ind w:left="360"/>
      </w:pPr>
      <w:r>
        <w:rPr>
          <w:sz w:val="20"/>
        </w:rPr>
        <w:t>☐  RACI confirmed and resourcing adequate.</w:t>
      </w:r>
    </w:p>
    <w:p>
      <w:pPr>
        <w:ind w:left="360"/>
      </w:pPr>
      <w:r>
        <w:rPr>
          <w:sz w:val="20"/>
        </w:rPr>
        <w:t>☐  Compliance calendar 100% met; exceptions analysed.</w:t>
      </w:r>
    </w:p>
    <w:p>
      <w:pPr>
        <w:ind w:left="360"/>
      </w:pPr>
      <w:r>
        <w:rPr>
          <w:sz w:val="20"/>
        </w:rPr>
        <w:t>☐  TCF controls tested; deficiencies remediated.</w:t>
      </w:r>
    </w:p>
    <w:p>
      <w:pPr>
        <w:ind w:left="360"/>
      </w:pPr>
      <w:r>
        <w:rPr>
          <w:sz w:val="20"/>
        </w:rPr>
        <w:t>☐  Material positions and disputes reported to the Audit Committee.</w:t>
      </w:r>
    </w:p>
    <w:p>
      <w:pPr>
        <w:ind w:left="360"/>
      </w:pPr>
      <w:r>
        <w:rPr>
          <w:sz w:val="20"/>
        </w:rPr>
        <w:t>☐  NTA 2025 Readiness / Tax Assessment re-scored and gaps actioned.</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