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Contingency Funding Plan Template</w:t>
      </w:r>
    </w:p>
    <w:p>
      <w:r>
        <w:rPr>
          <w:rFonts w:ascii="Arial" w:hAnsi="Arial"/>
          <w:b/>
          <w:sz w:val="22"/>
        </w:rPr>
        <w:t>Toolkit · Cash Flow Forecasting · Enterprise tier</w:t>
      </w:r>
    </w:p>
    <w:p>
      <w:r>
        <w:rPr>
          <w:rFonts w:ascii="Arial" w:hAnsi="Arial"/>
          <w:sz w:val="22"/>
        </w:rPr>
        <w:t>Pre-positioned plan for stressed liquidity scenarios.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Defines triggers, escalation paths, contingency sources and communication protocols across base, adverse and severe scenarios.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Treasurer</w:t>
      </w:r>
    </w:p>
    <w:p>
      <w:pPr>
        <w:pStyle w:val="ListBullet"/>
      </w:pPr>
      <w:r>
        <w:rPr>
          <w:rFonts w:ascii="Arial" w:hAnsi="Arial"/>
          <w:sz w:val="22"/>
        </w:rPr>
        <w:t>ALCO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Week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Opening Cash (NGN'm)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Receipts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Payments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Net Cash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Closing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12250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4580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4275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305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12555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4660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4350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310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12810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12750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4740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4425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315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13065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13000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4820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13320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13250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4900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4575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13575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W+6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13500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4980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4650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330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13830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13750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5060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4725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335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14085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W+8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14000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5140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4800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340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14340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Triggers</w:t>
      </w:r>
    </w:p>
    <w:p>
      <w:pPr>
        <w:pStyle w:val="ListBullet"/>
      </w:pPr>
      <w:r>
        <w:rPr>
          <w:rFonts w:ascii="Arial" w:hAnsi="Arial"/>
          <w:sz w:val="22"/>
        </w:rPr>
        <w:t>Stress scenarios</w:t>
      </w:r>
    </w:p>
    <w:p>
      <w:pPr>
        <w:pStyle w:val="ListBullet"/>
      </w:pPr>
      <w:r>
        <w:rPr>
          <w:rFonts w:ascii="Arial" w:hAnsi="Arial"/>
          <w:sz w:val="22"/>
        </w:rPr>
        <w:t>Playbook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