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BUSINESS STRATEGY CENTRE™</w:t>
      </w:r>
    </w:p>
    <w:p>
      <w:pPr>
        <w:jc w:val="center"/>
      </w:pPr>
      <w:r>
        <w:rPr>
          <w:b/>
          <w:color w:val="10243F"/>
          <w:sz w:val="50"/>
        </w:rPr>
        <w:t>Balanced Scorecard Toolkit™</w:t>
      </w:r>
    </w:p>
    <w:p>
      <w:pPr>
        <w:jc w:val="center"/>
      </w:pPr>
      <w:r>
        <w:rPr>
          <w:color w:val="C97B2C"/>
          <w:sz w:val="26"/>
        </w:rPr>
        <w:t>Translate strategy into balanced objectives and measures</w:t>
      </w:r>
    </w:p>
    <w:p/>
    <w:p/>
    <w:p>
      <w:pPr>
        <w:jc w:val="center"/>
      </w:pPr>
      <w:r>
        <w:rPr>
          <w:color w:val="555555"/>
          <w:sz w:val="20"/>
        </w:rPr>
        <w:t>Executive / Strategy Office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The balanced scorecard translates strategy into objectives and measures across four perspectives — financial, customer, internal process, and learning &amp; growth — linked by a strategy map. This toolkit builds and cascades the scorecard.</w:t>
      </w:r>
    </w:p>
    <w:p>
      <w:pPr>
        <w:pStyle w:val="Heading2"/>
      </w:pPr>
      <w:r>
        <w:t>Operating lifecycle</w:t>
      </w:r>
    </w:p>
    <w:p>
      <w:pPr>
        <w:pStyle w:val="ListNumber"/>
      </w:pPr>
      <w:r>
        <w:rPr>
          <w:sz w:val="19"/>
        </w:rPr>
        <w:t>Map — build the strategy map (cause and effect)</w:t>
      </w:r>
    </w:p>
    <w:p>
      <w:pPr>
        <w:pStyle w:val="ListNumber"/>
      </w:pPr>
      <w:r>
        <w:rPr>
          <w:sz w:val="19"/>
        </w:rPr>
        <w:t>Define — objectives and measures per perspective</w:t>
      </w:r>
    </w:p>
    <w:p>
      <w:pPr>
        <w:pStyle w:val="ListNumber"/>
      </w:pPr>
      <w:r>
        <w:rPr>
          <w:sz w:val="19"/>
        </w:rPr>
        <w:t>Target — set targets and thresholds</w:t>
      </w:r>
    </w:p>
    <w:p>
      <w:pPr>
        <w:pStyle w:val="ListNumber"/>
      </w:pPr>
      <w:r>
        <w:rPr>
          <w:sz w:val="19"/>
        </w:rPr>
        <w:t>Cascade — align the organisation to the scorecard</w:t>
      </w:r>
    </w:p>
    <w:p>
      <w:pPr>
        <w:pStyle w:val="ListNumber"/>
      </w:pPr>
      <w:r>
        <w:rPr>
          <w:sz w:val="19"/>
        </w:rPr>
        <w:t>Review — track attainment and act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Initial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Developing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Defined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Managed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Optimised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 hoc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Some structure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Managed &amp; measured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Adaptive &amp; advantage-creating</w:t>
            </w:r>
          </w:p>
        </w:tc>
      </w:tr>
    </w:tbl>
    <w:p>
      <w:pPr>
        <w:pStyle w:val="Heading2"/>
      </w:pPr>
      <w:r>
        <w:t>Key components</w:t>
      </w:r>
    </w:p>
    <w:p>
      <w:pPr>
        <w:pStyle w:val="ListBullet"/>
      </w:pPr>
      <w:r>
        <w:rPr>
          <w:sz w:val="19"/>
        </w:rPr>
        <w:t>Strategy map</w:t>
      </w:r>
    </w:p>
    <w:p>
      <w:pPr>
        <w:pStyle w:val="ListBullet"/>
      </w:pPr>
      <w:r>
        <w:rPr>
          <w:sz w:val="19"/>
        </w:rPr>
        <w:t>Financial perspective</w:t>
      </w:r>
    </w:p>
    <w:p>
      <w:pPr>
        <w:pStyle w:val="ListBullet"/>
      </w:pPr>
      <w:r>
        <w:rPr>
          <w:sz w:val="19"/>
        </w:rPr>
        <w:t>Customer perspective</w:t>
      </w:r>
    </w:p>
    <w:p>
      <w:pPr>
        <w:pStyle w:val="ListBullet"/>
      </w:pPr>
      <w:r>
        <w:rPr>
          <w:sz w:val="19"/>
        </w:rPr>
        <w:t>Internal-process perspective</w:t>
      </w:r>
    </w:p>
    <w:p>
      <w:pPr>
        <w:pStyle w:val="ListBullet"/>
      </w:pPr>
      <w:r>
        <w:rPr>
          <w:sz w:val="19"/>
        </w:rPr>
        <w:t>Learning &amp; growth</w:t>
      </w:r>
    </w:p>
    <w:p>
      <w:pPr>
        <w:pStyle w:val="ListBullet"/>
      </w:pPr>
      <w:r>
        <w:rPr>
          <w:sz w:val="19"/>
        </w:rPr>
        <w:t>Cascade &amp; alignment</w:t>
      </w:r>
    </w:p>
    <w:p>
      <w:pPr>
        <w:pStyle w:val="Heading1"/>
      </w:pPr>
      <w:r>
        <w:t>2. Templates</w:t>
      </w:r>
    </w:p>
    <w:p>
      <w:pPr>
        <w:pStyle w:val="Heading3"/>
      </w:pPr>
      <w:r>
        <w:t>Strategy map template</w:t>
      </w:r>
    </w:p>
    <w:p>
      <w:r>
        <w:rPr>
          <w:b w:val="0"/>
          <w:i w:val="0"/>
          <w:sz w:val="19"/>
        </w:rPr>
        <w:t>Link objectives across the four perspectives in cause-and-effect chains.</w:t>
      </w:r>
    </w:p>
    <w:p>
      <w:pPr>
        <w:pStyle w:val="Heading3"/>
      </w:pPr>
      <w:r>
        <w:t>Balanced scorecard workbook</w:t>
      </w:r>
    </w:p>
    <w:p>
      <w:r>
        <w:rPr>
          <w:b w:val="0"/>
          <w:i w:val="0"/>
          <w:sz w:val="19"/>
        </w:rPr>
        <w:t>Objectives, measures, targets, actuals, attainment and RAG (working XLSX supplied separately).</w:t>
      </w:r>
    </w:p>
    <w:p>
      <w:pPr>
        <w:pStyle w:val="Heading3"/>
      </w:pPr>
      <w:r>
        <w:t>Strategic KPI library</w:t>
      </w:r>
    </w:p>
    <w:p>
      <w:r>
        <w:rPr>
          <w:b w:val="0"/>
          <w:i w:val="0"/>
          <w:sz w:val="19"/>
        </w:rPr>
        <w:t>Choose certified measures for each perspective (working XLSX supplied separately).</w:t>
      </w:r>
    </w:p>
    <w:p>
      <w:pPr>
        <w:pStyle w:val="Heading3"/>
      </w:pPr>
      <w:r>
        <w:t>Strategy review meeting pack</w:t>
      </w:r>
    </w:p>
    <w:p>
      <w:r>
        <w:rPr>
          <w:b w:val="0"/>
          <w:i w:val="0"/>
          <w:sz w:val="19"/>
        </w:rPr>
        <w:t>Run the scorecard review.</w:t>
      </w:r>
    </w:p>
    <w:p>
      <w:pPr>
        <w:pStyle w:val="Heading1"/>
      </w:pPr>
      <w:r>
        <w:t>3. Sample Output</w:t>
      </w:r>
    </w:p>
    <w:p>
      <w:r>
        <w:rPr>
          <w:b w:val="0"/>
          <w:i/>
          <w:sz w:val="19"/>
        </w:rPr>
        <w:t>Illustrative scorecard (from the Balanced Scorecard Workbook):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Perspective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Objective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Attainment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</w:tr>
      <w:tr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Financial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Grow revenue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90%</w:t>
            </w:r>
          </w:p>
        </w:tc>
        <w:tc>
          <w:tcPr>
            <w:tcW w:type="dxa" w:w="2448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</w:tr>
      <w:tr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Financial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Improve margin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89%</w:t>
            </w:r>
          </w:p>
        </w:tc>
        <w:tc>
          <w:tcPr>
            <w:tcW w:type="dxa" w:w="2448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Customer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Improve satisfaction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107%</w:t>
            </w:r>
          </w:p>
        </w:tc>
        <w:tc>
          <w:tcPr>
            <w:tcW w:type="dxa" w:w="2448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</w:tr>
      <w:tr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Learning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Build capability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85%</w:t>
            </w:r>
          </w:p>
        </w:tc>
        <w:tc>
          <w:tcPr>
            <w:tcW w:type="dxa" w:w="2448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</w:tr>
    </w:tbl>
    <w:p>
      <w:pPr>
        <w:pStyle w:val="Heading1"/>
      </w:pPr>
      <w:r>
        <w:t>4. Checklists</w:t>
      </w:r>
    </w:p>
    <w:p>
      <w:pPr>
        <w:ind w:left="288"/>
      </w:pPr>
      <w:r>
        <w:rPr>
          <w:sz w:val="19"/>
        </w:rPr>
        <w:t>☐  Strategy map built and validated</w:t>
      </w:r>
    </w:p>
    <w:p>
      <w:pPr>
        <w:ind w:left="288"/>
      </w:pPr>
      <w:r>
        <w:rPr>
          <w:sz w:val="19"/>
        </w:rPr>
        <w:t>☐  Objectives defined across all four perspectives</w:t>
      </w:r>
    </w:p>
    <w:p>
      <w:pPr>
        <w:ind w:left="288"/>
      </w:pPr>
      <w:r>
        <w:rPr>
          <w:sz w:val="19"/>
        </w:rPr>
        <w:t>☐  Each objective has a measure, target and owner</w:t>
      </w:r>
    </w:p>
    <w:p>
      <w:pPr>
        <w:ind w:left="288"/>
      </w:pPr>
      <w:r>
        <w:rPr>
          <w:sz w:val="19"/>
        </w:rPr>
        <w:t>☐  Scorecard cascaded to units and teams</w:t>
      </w:r>
    </w:p>
    <w:p>
      <w:pPr>
        <w:ind w:left="288"/>
      </w:pPr>
      <w:r>
        <w:rPr>
          <w:sz w:val="19"/>
        </w:rPr>
        <w:t>☐  Attainment reviewed on a regular cadence</w:t>
      </w:r>
    </w:p>
    <w:p>
      <w:pPr>
        <w:ind w:left="288"/>
      </w:pPr>
      <w:r>
        <w:rPr>
          <w:sz w:val="19"/>
        </w:rPr>
        <w:t>☐  Scorecard reported to the board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The scorecard is governed by the executive and reviewed by the board each quarter: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80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Approves strategy and capital; oversees value creation and strategic risk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Strategy / Executive Committee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Owns strategy, prioritises, governs execution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Strategy office / PMO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Runs the cycle, tracks initiatives, maintains the system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Business-unit leaders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 strategy and delivery in their units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Initiative owners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Deliver initiatives to plan, KPIs and milestones</w:t>
            </w:r>
          </w:p>
        </w:tc>
      </w:tr>
    </w:tbl>
    <w:p>
      <w:pPr>
        <w:pStyle w:val="Heading2"/>
      </w:pPr>
      <w:r>
        <w:t>Reporting Example</w:t>
      </w:r>
    </w:p>
    <w:p>
      <w:r>
        <w:rPr>
          <w:b w:val="0"/>
          <w:i w:val="0"/>
          <w:sz w:val="19"/>
        </w:rPr>
        <w:t>Standard report: executive summary · progress vs target (RAG) · key metrics · risks &amp; decisions.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Metric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Financial perspective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Recover margin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Customer perspective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Ahead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Internal perspective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Slightly behind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Improve delivery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Learning perspective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Behind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Accelerate hiring</w:t>
            </w:r>
          </w:p>
        </w:tc>
      </w:tr>
    </w:tbl>
    <w:p>
      <w:pPr>
        <w:pStyle w:val="Heading2"/>
      </w:pPr>
      <w:r>
        <w:t>Board Reporting Section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Scorecard health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Customer ahead; margin and capability behind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Balance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All four perspectives measured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Risk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Margin attainment below threshold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margin-recovery actions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resource. Calibrate frameworks, scoring, KPIs and governance to your organisation, sector and strategy. Targets and thresholds are illustrative and should be set by leadership.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