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Succession Planning Toolkit</w:t>
      </w:r>
    </w:p>
    <w:p>
      <w:r>
        <w:rPr>
          <w:i/>
          <w:color w:val="445577"/>
        </w:rPr>
        <w:t>Outliers Board Excellence Centre™ | Board Excellence Resource</w:t>
      </w:r>
    </w:p>
    <w:p/>
    <w:p>
      <w:pPr>
        <w:pStyle w:val="Heading1"/>
      </w:pPr>
      <w:r>
        <w:t>Purpose</w:t>
      </w:r>
    </w:p>
    <w:p>
      <w:r>
        <w:t>Succession Planning Toolkit provides an end-to-end toolkit for boards and committees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Succession Planning Toolkit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Role</w:t>
            </w:r>
          </w:p>
        </w:tc>
        <w:tc>
          <w:tcPr>
            <w:tcW w:type="dxa" w:w="1440"/>
          </w:tcPr>
          <w:p>
            <w:r>
              <w:rPr>
                <w:b/>
              </w:rPr>
              <w:t>Incumbent</w:t>
            </w:r>
          </w:p>
        </w:tc>
        <w:tc>
          <w:tcPr>
            <w:tcW w:type="dxa" w:w="1440"/>
          </w:tcPr>
          <w:p>
            <w:r>
              <w:rPr>
                <w:b/>
              </w:rPr>
              <w:t>Emergency Successor</w:t>
            </w:r>
          </w:p>
        </w:tc>
        <w:tc>
          <w:tcPr>
            <w:tcW w:type="dxa" w:w="1440"/>
          </w:tcPr>
          <w:p>
            <w:r>
              <w:rPr>
                <w:b/>
              </w:rPr>
              <w:t>Ready Now</w:t>
            </w:r>
          </w:p>
        </w:tc>
        <w:tc>
          <w:tcPr>
            <w:tcW w:type="dxa" w:w="1440"/>
          </w:tcPr>
          <w:p>
            <w:r>
              <w:rPr>
                <w:b/>
              </w:rPr>
              <w:t>Ready 1-2 yrs</w:t>
            </w:r>
          </w:p>
        </w:tc>
        <w:tc>
          <w:tcPr>
            <w:tcW w:type="dxa" w:w="1440"/>
          </w:tcPr>
          <w:p>
            <w:r>
              <w:rPr>
                <w:b/>
              </w:rPr>
              <w:t>Development Actions</w:t>
            </w:r>
          </w:p>
        </w:tc>
      </w:tr>
      <w:tr>
        <w:tc>
          <w:tcPr>
            <w:tcW w:type="dxa" w:w="1440"/>
          </w:tcPr>
          <w:p>
            <w:r>
              <w:t>CEO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Stretch assignments, external coaching</w:t>
            </w:r>
          </w:p>
        </w:tc>
      </w:tr>
      <w:tr>
        <w:tc>
          <w:tcPr>
            <w:tcW w:type="dxa" w:w="1440"/>
          </w:tcPr>
          <w:p>
            <w:r>
              <w:t>CFO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Board exposure, IFRS 17/9 deep dive</w:t>
            </w:r>
          </w:p>
        </w:tc>
      </w:tr>
      <w:tr>
        <w:tc>
          <w:tcPr>
            <w:tcW w:type="dxa" w:w="1440"/>
          </w:tcPr>
          <w:p>
            <w:r>
              <w:t>CRO</w:t>
            </w:r>
          </w:p>
        </w:tc>
        <w:tc>
          <w:tcPr>
            <w:tcW w:type="dxa" w:w="1440"/>
          </w:tcPr>
          <w:p>
            <w:r>
              <w:t>[Name]</w:t>
            </w:r>
          </w:p>
        </w:tc>
        <w:tc>
          <w:tcPr>
            <w:tcW w:type="dxa" w:w="1440"/>
          </w:tcPr>
          <w:p>
            <w:r>
              <w:t>[Name]</w:t>
            </w:r>
          </w:p>
        </w:tc>
        <w:tc>
          <w:tcPr>
            <w:tcW w:type="dxa" w:w="1440"/>
          </w:tcPr>
          <w:p>
            <w:r>
              <w:t>[Name]</w:t>
            </w:r>
          </w:p>
        </w:tc>
        <w:tc>
          <w:tcPr>
            <w:tcW w:type="dxa" w:w="1440"/>
          </w:tcPr>
          <w:p>
            <w:r>
              <w:t>[Name]</w:t>
            </w:r>
          </w:p>
        </w:tc>
        <w:tc>
          <w:tcPr>
            <w:tcW w:type="dxa" w:w="1440"/>
          </w:tcPr>
          <w:p>
            <w:r>
              <w:t>Risk committee shadowing</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