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ESG &amp; SUSTAINABILITY CENTRE™</w:t>
      </w:r>
    </w:p>
    <w:p>
      <w:pPr>
        <w:jc w:val="center"/>
      </w:pPr>
      <w:r>
        <w:rPr>
          <w:b/>
          <w:color w:val="10243F"/>
          <w:sz w:val="46"/>
        </w:rPr>
        <w:t>Board Sustainability Dashboard</w:t>
      </w:r>
    </w:p>
    <w:p>
      <w:pPr>
        <w:jc w:val="center"/>
      </w:pPr>
      <w:r>
        <w:rPr>
          <w:color w:val="C97B2C"/>
          <w:sz w:val="26"/>
        </w:rPr>
        <w:t>One-page ESG dashboard for the board</w:t>
      </w:r>
    </w:p>
    <w:p/>
    <w:p/>
    <w:p>
      <w:pPr>
        <w:jc w:val="center"/>
      </w:pPr>
      <w:r>
        <w:rPr>
          <w:color w:val="555555"/>
          <w:sz w:val="20"/>
        </w:rPr>
        <w:t>Board / ESG Committee  ·  Flagship Edition 2026</w:t>
      </w:r>
    </w:p>
    <w:p>
      <w:pPr>
        <w:jc w:val="center"/>
      </w:pPr>
      <w:r>
        <w:rPr>
          <w:i/>
          <w:color w:val="555555"/>
          <w:sz w:val="18"/>
        </w:rPr>
        <w:t>Outliers Professionals Ltd — ESG &amp; Sustainability Centre Resource Library</w:t>
      </w:r>
    </w:p>
    <w:p>
      <w:r>
        <w:br w:type="page"/>
      </w:r>
    </w:p>
    <w:p>
      <w:pPr>
        <w:pStyle w:val="Heading1"/>
      </w:pPr>
      <w:r>
        <w:t>1. ESG Health Summary (example)</w:t>
      </w:r>
    </w:p>
    <w:tbl>
      <w:tblPr>
        <w:tblStyle w:val="TableGrid"/>
        <w:tblW w:type="auto" w:w="0"/>
        <w:jc w:val="center"/>
        <w:tblLook w:firstColumn="1" w:firstRow="1" w:lastColumn="0" w:lastRow="0" w:noHBand="0" w:noVBand="1" w:val="04A0"/>
      </w:tblPr>
      <w:tblGrid>
        <w:gridCol w:w="3264"/>
        <w:gridCol w:w="3264"/>
        <w:gridCol w:w="3264"/>
      </w:tblGrid>
      <w:tr>
        <w:tc>
          <w:tcPr>
            <w:tcW w:type="dxa" w:w="3456"/>
            <w:shd w:val="clear" w:fill="1B4D89"/>
          </w:tcPr>
          <w:p>
            <w:r/>
            <w:r>
              <w:rPr>
                <w:rFonts w:ascii="Arial" w:hAnsi="Arial"/>
                <w:b/>
                <w:color w:val="FFFFFF"/>
                <w:sz w:val="16"/>
              </w:rPr>
              <w:t>Dimension</w:t>
            </w:r>
          </w:p>
        </w:tc>
        <w:tc>
          <w:tcPr>
            <w:tcW w:type="dxa" w:w="1440"/>
            <w:shd w:val="clear" w:fill="1B4D89"/>
          </w:tcPr>
          <w:p>
            <w:r/>
            <w:r>
              <w:rPr>
                <w:rFonts w:ascii="Arial" w:hAnsi="Arial"/>
                <w:b/>
                <w:color w:val="FFFFFF"/>
                <w:sz w:val="16"/>
              </w:rPr>
              <w:t>Status</w:t>
            </w:r>
          </w:p>
        </w:tc>
        <w:tc>
          <w:tcPr>
            <w:tcW w:type="dxa" w:w="6624"/>
            <w:shd w:val="clear" w:fill="1B4D89"/>
          </w:tcPr>
          <w:p>
            <w:r/>
            <w:r>
              <w:rPr>
                <w:rFonts w:ascii="Arial" w:hAnsi="Arial"/>
                <w:b/>
                <w:color w:val="FFFFFF"/>
                <w:sz w:val="16"/>
              </w:rPr>
              <w:t>Commentary</w:t>
            </w:r>
          </w:p>
        </w:tc>
      </w:tr>
      <w:tr>
        <w:tc>
          <w:tcPr>
            <w:tcW w:type="dxa" w:w="3456"/>
          </w:tcPr>
          <w:p>
            <w:r/>
            <w:r>
              <w:rPr>
                <w:rFonts w:ascii="Arial" w:hAnsi="Arial"/>
                <w:b w:val="0"/>
                <w:sz w:val="16"/>
              </w:rPr>
              <w:t>ESG strategy &amp; maturity</w:t>
            </w:r>
          </w:p>
        </w:tc>
        <w:tc>
          <w:tcPr>
            <w:tcW w:type="dxa" w:w="1440"/>
            <w:shd w:val="clear" w:fill="E08A2B"/>
          </w:tcPr>
          <w:p>
            <w:pPr>
              <w:jc w:val="center"/>
            </w:pPr>
            <w:r/>
            <w:r>
              <w:rPr>
                <w:rFonts w:ascii="Arial" w:hAnsi="Arial"/>
                <w:b/>
                <w:color w:val="FFFFFF"/>
                <w:sz w:val="16"/>
              </w:rPr>
              <w:t>Amber</w:t>
            </w:r>
          </w:p>
        </w:tc>
        <w:tc>
          <w:tcPr>
            <w:tcW w:type="dxa" w:w="6624"/>
          </w:tcPr>
          <w:p>
            <w:r/>
            <w:r>
              <w:rPr>
                <w:rFonts w:ascii="Arial" w:hAnsi="Arial"/>
                <w:b w:val="0"/>
                <w:sz w:val="16"/>
              </w:rPr>
              <w:t>Defined; advancing to Managed</w:t>
            </w:r>
          </w:p>
        </w:tc>
      </w:tr>
      <w:tr>
        <w:tc>
          <w:tcPr>
            <w:tcW w:type="dxa" w:w="3456"/>
            <w:shd w:val="clear" w:fill="F4F7FB"/>
          </w:tcPr>
          <w:p>
            <w:r/>
            <w:r>
              <w:rPr>
                <w:rFonts w:ascii="Arial" w:hAnsi="Arial"/>
                <w:b w:val="0"/>
                <w:sz w:val="16"/>
              </w:rPr>
              <w:t>Climate &amp; net zero</w:t>
            </w:r>
          </w:p>
        </w:tc>
        <w:tc>
          <w:tcPr>
            <w:tcW w:type="dxa" w:w="1440"/>
            <w:shd w:val="clear" w:fill="F4F7FB"/>
            <w:shd w:val="clear" w:fill="E08A2B"/>
          </w:tcPr>
          <w:p>
            <w:pPr>
              <w:jc w:val="center"/>
            </w:pPr>
            <w:r/>
            <w:r>
              <w:rPr>
                <w:rFonts w:ascii="Arial" w:hAnsi="Arial"/>
                <w:b/>
                <w:color w:val="FFFFFF"/>
                <w:sz w:val="16"/>
              </w:rPr>
              <w:t>Amber</w:t>
            </w:r>
          </w:p>
        </w:tc>
        <w:tc>
          <w:tcPr>
            <w:tcW w:type="dxa" w:w="6624"/>
            <w:shd w:val="clear" w:fill="F4F7FB"/>
          </w:tcPr>
          <w:p>
            <w:r/>
            <w:r>
              <w:rPr>
                <w:rFonts w:ascii="Arial" w:hAnsi="Arial"/>
                <w:b w:val="0"/>
                <w:sz w:val="16"/>
              </w:rPr>
              <w:t>On trajectory; Scope 3 maturing</w:t>
            </w:r>
          </w:p>
        </w:tc>
      </w:tr>
      <w:tr>
        <w:tc>
          <w:tcPr>
            <w:tcW w:type="dxa" w:w="3456"/>
          </w:tcPr>
          <w:p>
            <w:r/>
            <w:r>
              <w:rPr>
                <w:rFonts w:ascii="Arial" w:hAnsi="Arial"/>
                <w:b w:val="0"/>
                <w:sz w:val="16"/>
              </w:rPr>
              <w:t>Environmental</w:t>
            </w:r>
          </w:p>
        </w:tc>
        <w:tc>
          <w:tcPr>
            <w:tcW w:type="dxa" w:w="1440"/>
            <w:shd w:val="clear" w:fill="E08A2B"/>
          </w:tcPr>
          <w:p>
            <w:pPr>
              <w:jc w:val="center"/>
            </w:pPr>
            <w:r/>
            <w:r>
              <w:rPr>
                <w:rFonts w:ascii="Arial" w:hAnsi="Arial"/>
                <w:b/>
                <w:color w:val="FFFFFF"/>
                <w:sz w:val="16"/>
              </w:rPr>
              <w:t>Amber</w:t>
            </w:r>
          </w:p>
        </w:tc>
        <w:tc>
          <w:tcPr>
            <w:tcW w:type="dxa" w:w="6624"/>
          </w:tcPr>
          <w:p>
            <w:r/>
            <w:r>
              <w:rPr>
                <w:rFonts w:ascii="Arial" w:hAnsi="Arial"/>
                <w:b w:val="0"/>
                <w:sz w:val="16"/>
              </w:rPr>
              <w:t>Water &amp; waste improving</w:t>
            </w:r>
          </w:p>
        </w:tc>
      </w:tr>
      <w:tr>
        <w:tc>
          <w:tcPr>
            <w:tcW w:type="dxa" w:w="3456"/>
            <w:shd w:val="clear" w:fill="F4F7FB"/>
          </w:tcPr>
          <w:p>
            <w:r/>
            <w:r>
              <w:rPr>
                <w:rFonts w:ascii="Arial" w:hAnsi="Arial"/>
                <w:b w:val="0"/>
                <w:sz w:val="16"/>
              </w:rPr>
              <w:t>Social &amp; human rights</w:t>
            </w:r>
          </w:p>
        </w:tc>
        <w:tc>
          <w:tcPr>
            <w:tcW w:type="dxa" w:w="1440"/>
            <w:shd w:val="clear" w:fill="F4F7FB"/>
            <w:shd w:val="clear" w:fill="E08A2B"/>
          </w:tcPr>
          <w:p>
            <w:pPr>
              <w:jc w:val="center"/>
            </w:pPr>
            <w:r/>
            <w:r>
              <w:rPr>
                <w:rFonts w:ascii="Arial" w:hAnsi="Arial"/>
                <w:b/>
                <w:color w:val="FFFFFF"/>
                <w:sz w:val="16"/>
              </w:rPr>
              <w:t>Amber</w:t>
            </w:r>
          </w:p>
        </w:tc>
        <w:tc>
          <w:tcPr>
            <w:tcW w:type="dxa" w:w="6624"/>
            <w:shd w:val="clear" w:fill="F4F7FB"/>
          </w:tcPr>
          <w:p>
            <w:r/>
            <w:r>
              <w:rPr>
                <w:rFonts w:ascii="Arial" w:hAnsi="Arial"/>
                <w:b w:val="0"/>
                <w:sz w:val="16"/>
              </w:rPr>
              <w:t>Programmes operating</w:t>
            </w:r>
          </w:p>
        </w:tc>
      </w:tr>
      <w:tr>
        <w:tc>
          <w:tcPr>
            <w:tcW w:type="dxa" w:w="3456"/>
          </w:tcPr>
          <w:p>
            <w:r/>
            <w:r>
              <w:rPr>
                <w:rFonts w:ascii="Arial" w:hAnsi="Arial"/>
                <w:b w:val="0"/>
                <w:sz w:val="16"/>
              </w:rPr>
              <w:t>Governance &amp; disclosure</w:t>
            </w:r>
          </w:p>
        </w:tc>
        <w:tc>
          <w:tcPr>
            <w:tcW w:type="dxa" w:w="1440"/>
            <w:shd w:val="clear" w:fill="E08A2B"/>
          </w:tcPr>
          <w:p>
            <w:pPr>
              <w:jc w:val="center"/>
            </w:pPr>
            <w:r/>
            <w:r>
              <w:rPr>
                <w:rFonts w:ascii="Arial" w:hAnsi="Arial"/>
                <w:b/>
                <w:color w:val="FFFFFF"/>
                <w:sz w:val="16"/>
              </w:rPr>
              <w:t>Amber</w:t>
            </w:r>
          </w:p>
        </w:tc>
        <w:tc>
          <w:tcPr>
            <w:tcW w:type="dxa" w:w="6624"/>
          </w:tcPr>
          <w:p>
            <w:r/>
            <w:r>
              <w:rPr>
                <w:rFonts w:ascii="Arial" w:hAnsi="Arial"/>
                <w:b w:val="0"/>
                <w:sz w:val="16"/>
              </w:rPr>
              <w:t>Aligning to GRI/ISSB</w:t>
            </w:r>
          </w:p>
        </w:tc>
      </w:tr>
    </w:tbl>
    <w:p>
      <w:pPr>
        <w:pStyle w:val="Heading1"/>
      </w:pPr>
      <w:r>
        <w:t>2. Key ESG Metrics (example)</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3744"/>
            <w:shd w:val="clear" w:fill="1B4D89"/>
          </w:tcPr>
          <w:p>
            <w:r/>
            <w:r>
              <w:rPr>
                <w:rFonts w:ascii="Arial" w:hAnsi="Arial"/>
                <w:b/>
                <w:color w:val="FFFFFF"/>
                <w:sz w:val="16"/>
              </w:rPr>
              <w:t>Metric</w:t>
            </w:r>
          </w:p>
        </w:tc>
        <w:tc>
          <w:tcPr>
            <w:tcW w:type="dxa" w:w="1728"/>
            <w:shd w:val="clear" w:fill="1B4D89"/>
          </w:tcPr>
          <w:p>
            <w:r/>
            <w:r>
              <w:rPr>
                <w:rFonts w:ascii="Arial" w:hAnsi="Arial"/>
                <w:b/>
                <w:color w:val="FFFFFF"/>
                <w:sz w:val="16"/>
              </w:rPr>
              <w:t>Current</w:t>
            </w:r>
          </w:p>
        </w:tc>
        <w:tc>
          <w:tcPr>
            <w:tcW w:type="dxa" w:w="1728"/>
            <w:shd w:val="clear" w:fill="1B4D89"/>
          </w:tcPr>
          <w:p>
            <w:r/>
            <w:r>
              <w:rPr>
                <w:rFonts w:ascii="Arial" w:hAnsi="Arial"/>
                <w:b/>
                <w:color w:val="FFFFFF"/>
                <w:sz w:val="16"/>
              </w:rPr>
              <w:t>Target</w:t>
            </w:r>
          </w:p>
        </w:tc>
        <w:tc>
          <w:tcPr>
            <w:tcW w:type="dxa" w:w="1296"/>
            <w:shd w:val="clear" w:fill="1B4D89"/>
          </w:tcPr>
          <w:p>
            <w:r/>
            <w:r>
              <w:rPr>
                <w:rFonts w:ascii="Arial" w:hAnsi="Arial"/>
                <w:b/>
                <w:color w:val="FFFFFF"/>
                <w:sz w:val="16"/>
              </w:rPr>
              <w:t>RAG</w:t>
            </w:r>
          </w:p>
        </w:tc>
      </w:tr>
      <w:tr>
        <w:tc>
          <w:tcPr>
            <w:tcW w:type="dxa" w:w="3744"/>
          </w:tcPr>
          <w:p>
            <w:r/>
            <w:r>
              <w:rPr>
                <w:rFonts w:ascii="Arial" w:hAnsi="Arial"/>
                <w:b w:val="0"/>
                <w:sz w:val="16"/>
              </w:rPr>
              <w:t>ESG maturity index</w:t>
            </w:r>
          </w:p>
        </w:tc>
        <w:tc>
          <w:tcPr>
            <w:tcW w:type="dxa" w:w="1728"/>
          </w:tcPr>
          <w:p>
            <w:r/>
            <w:r>
              <w:rPr>
                <w:rFonts w:ascii="Arial" w:hAnsi="Arial"/>
                <w:b w:val="0"/>
                <w:sz w:val="16"/>
              </w:rPr>
              <w:t>62</w:t>
            </w:r>
          </w:p>
        </w:tc>
        <w:tc>
          <w:tcPr>
            <w:tcW w:type="dxa" w:w="1728"/>
          </w:tcPr>
          <w:p>
            <w:r/>
            <w:r>
              <w:rPr>
                <w:rFonts w:ascii="Arial" w:hAnsi="Arial"/>
                <w:b w:val="0"/>
                <w:sz w:val="16"/>
              </w:rPr>
              <w:t>75</w:t>
            </w:r>
          </w:p>
        </w:tc>
        <w:tc>
          <w:tcPr>
            <w:tcW w:type="dxa" w:w="1296"/>
            <w:shd w:val="clear" w:fill="E08A2B"/>
          </w:tcPr>
          <w:p>
            <w:pPr>
              <w:jc w:val="center"/>
            </w:pPr>
            <w:r/>
            <w:r>
              <w:rPr>
                <w:rFonts w:ascii="Arial" w:hAnsi="Arial"/>
                <w:b/>
                <w:color w:val="FFFFFF"/>
                <w:sz w:val="16"/>
              </w:rPr>
              <w:t>Amber</w:t>
            </w:r>
          </w:p>
        </w:tc>
      </w:tr>
      <w:tr>
        <w:tc>
          <w:tcPr>
            <w:tcW w:type="dxa" w:w="3744"/>
            <w:shd w:val="clear" w:fill="F4F7FB"/>
          </w:tcPr>
          <w:p>
            <w:r/>
            <w:r>
              <w:rPr>
                <w:rFonts w:ascii="Arial" w:hAnsi="Arial"/>
                <w:b w:val="0"/>
                <w:sz w:val="16"/>
              </w:rPr>
              <w:t>Total emissions (tCO2e)</w:t>
            </w:r>
          </w:p>
        </w:tc>
        <w:tc>
          <w:tcPr>
            <w:tcW w:type="dxa" w:w="1728"/>
            <w:shd w:val="clear" w:fill="F4F7FB"/>
          </w:tcPr>
          <w:p>
            <w:r/>
            <w:r>
              <w:rPr>
                <w:rFonts w:ascii="Arial" w:hAnsi="Arial"/>
                <w:b w:val="0"/>
                <w:sz w:val="16"/>
              </w:rPr>
              <w:t>[ ]</w:t>
            </w:r>
          </w:p>
        </w:tc>
        <w:tc>
          <w:tcPr>
            <w:tcW w:type="dxa" w:w="1728"/>
            <w:shd w:val="clear" w:fill="F4F7FB"/>
          </w:tcPr>
          <w:p>
            <w:r/>
            <w:r>
              <w:rPr>
                <w:rFonts w:ascii="Arial" w:hAnsi="Arial"/>
                <w:b w:val="0"/>
                <w:sz w:val="16"/>
              </w:rPr>
              <w:t>Reducing</w:t>
            </w:r>
          </w:p>
        </w:tc>
        <w:tc>
          <w:tcPr>
            <w:tcW w:type="dxa" w:w="1296"/>
            <w:shd w:val="clear" w:fill="F4F7FB"/>
            <w:shd w:val="clear" w:fill="E08A2B"/>
          </w:tcPr>
          <w:p>
            <w:pPr>
              <w:jc w:val="center"/>
            </w:pPr>
            <w:r/>
            <w:r>
              <w:rPr>
                <w:rFonts w:ascii="Arial" w:hAnsi="Arial"/>
                <w:b/>
                <w:color w:val="FFFFFF"/>
                <w:sz w:val="16"/>
              </w:rPr>
              <w:t>Amber</w:t>
            </w:r>
          </w:p>
        </w:tc>
      </w:tr>
      <w:tr>
        <w:tc>
          <w:tcPr>
            <w:tcW w:type="dxa" w:w="3744"/>
          </w:tcPr>
          <w:p>
            <w:r/>
            <w:r>
              <w:rPr>
                <w:rFonts w:ascii="Arial" w:hAnsi="Arial"/>
                <w:b w:val="0"/>
                <w:sz w:val="16"/>
              </w:rPr>
              <w:t>Renewable energy share</w:t>
            </w:r>
          </w:p>
        </w:tc>
        <w:tc>
          <w:tcPr>
            <w:tcW w:type="dxa" w:w="1728"/>
          </w:tcPr>
          <w:p>
            <w:r/>
            <w:r>
              <w:rPr>
                <w:rFonts w:ascii="Arial" w:hAnsi="Arial"/>
                <w:b w:val="0"/>
                <w:sz w:val="16"/>
              </w:rPr>
              <w:t>22%</w:t>
            </w:r>
          </w:p>
        </w:tc>
        <w:tc>
          <w:tcPr>
            <w:tcW w:type="dxa" w:w="1728"/>
          </w:tcPr>
          <w:p>
            <w:r/>
            <w:r>
              <w:rPr>
                <w:rFonts w:ascii="Arial" w:hAnsi="Arial"/>
                <w:b w:val="0"/>
                <w:sz w:val="16"/>
              </w:rPr>
              <w:t>40%</w:t>
            </w:r>
          </w:p>
        </w:tc>
        <w:tc>
          <w:tcPr>
            <w:tcW w:type="dxa" w:w="1296"/>
            <w:shd w:val="clear" w:fill="B23A48"/>
          </w:tcPr>
          <w:p>
            <w:pPr>
              <w:jc w:val="center"/>
            </w:pPr>
            <w:r/>
            <w:r>
              <w:rPr>
                <w:rFonts w:ascii="Arial" w:hAnsi="Arial"/>
                <w:b/>
                <w:color w:val="FFFFFF"/>
                <w:sz w:val="16"/>
              </w:rPr>
              <w:t>Red</w:t>
            </w:r>
          </w:p>
        </w:tc>
      </w:tr>
      <w:tr>
        <w:tc>
          <w:tcPr>
            <w:tcW w:type="dxa" w:w="3744"/>
            <w:shd w:val="clear" w:fill="F4F7FB"/>
          </w:tcPr>
          <w:p>
            <w:r/>
            <w:r>
              <w:rPr>
                <w:rFonts w:ascii="Arial" w:hAnsi="Arial"/>
                <w:b w:val="0"/>
                <w:sz w:val="16"/>
              </w:rPr>
              <w:t>Lost-time injury rate</w:t>
            </w:r>
          </w:p>
        </w:tc>
        <w:tc>
          <w:tcPr>
            <w:tcW w:type="dxa" w:w="1728"/>
            <w:shd w:val="clear" w:fill="F4F7FB"/>
          </w:tcPr>
          <w:p>
            <w:r/>
            <w:r>
              <w:rPr>
                <w:rFonts w:ascii="Arial" w:hAnsi="Arial"/>
                <w:b w:val="0"/>
                <w:sz w:val="16"/>
              </w:rPr>
              <w:t>1.2</w:t>
            </w:r>
          </w:p>
        </w:tc>
        <w:tc>
          <w:tcPr>
            <w:tcW w:type="dxa" w:w="1728"/>
            <w:shd w:val="clear" w:fill="F4F7FB"/>
          </w:tcPr>
          <w:p>
            <w:r/>
            <w:r>
              <w:rPr>
                <w:rFonts w:ascii="Arial" w:hAnsi="Arial"/>
                <w:b w:val="0"/>
                <w:sz w:val="16"/>
              </w:rPr>
              <w:t>≤0.5</w:t>
            </w:r>
          </w:p>
        </w:tc>
        <w:tc>
          <w:tcPr>
            <w:tcW w:type="dxa" w:w="1296"/>
            <w:shd w:val="clear" w:fill="F4F7FB"/>
            <w:shd w:val="clear" w:fill="E08A2B"/>
          </w:tcPr>
          <w:p>
            <w:pPr>
              <w:jc w:val="center"/>
            </w:pPr>
            <w:r/>
            <w:r>
              <w:rPr>
                <w:rFonts w:ascii="Arial" w:hAnsi="Arial"/>
                <w:b/>
                <w:color w:val="FFFFFF"/>
                <w:sz w:val="16"/>
              </w:rPr>
              <w:t>Amber</w:t>
            </w:r>
          </w:p>
        </w:tc>
      </w:tr>
      <w:tr>
        <w:tc>
          <w:tcPr>
            <w:tcW w:type="dxa" w:w="3744"/>
          </w:tcPr>
          <w:p>
            <w:r/>
            <w:r>
              <w:rPr>
                <w:rFonts w:ascii="Arial" w:hAnsi="Arial"/>
                <w:b w:val="0"/>
                <w:sz w:val="16"/>
              </w:rPr>
              <w:t>Disclosure completeness</w:t>
            </w:r>
          </w:p>
        </w:tc>
        <w:tc>
          <w:tcPr>
            <w:tcW w:type="dxa" w:w="1728"/>
          </w:tcPr>
          <w:p>
            <w:r/>
            <w:r>
              <w:rPr>
                <w:rFonts w:ascii="Arial" w:hAnsi="Arial"/>
                <w:b w:val="0"/>
                <w:sz w:val="16"/>
              </w:rPr>
              <w:t>85%</w:t>
            </w:r>
          </w:p>
        </w:tc>
        <w:tc>
          <w:tcPr>
            <w:tcW w:type="dxa" w:w="1728"/>
          </w:tcPr>
          <w:p>
            <w:r/>
            <w:r>
              <w:rPr>
                <w:rFonts w:ascii="Arial" w:hAnsi="Arial"/>
                <w:b w:val="0"/>
                <w:sz w:val="16"/>
              </w:rPr>
              <w:t>100%</w:t>
            </w:r>
          </w:p>
        </w:tc>
        <w:tc>
          <w:tcPr>
            <w:tcW w:type="dxa" w:w="1296"/>
            <w:shd w:val="clear" w:fill="E08A2B"/>
          </w:tcPr>
          <w:p>
            <w:pPr>
              <w:jc w:val="center"/>
            </w:pPr>
            <w:r/>
            <w:r>
              <w:rPr>
                <w:rFonts w:ascii="Arial" w:hAnsi="Arial"/>
                <w:b/>
                <w:color w:val="FFFFFF"/>
                <w:sz w:val="16"/>
              </w:rPr>
              <w:t>Amber</w:t>
            </w:r>
          </w:p>
        </w:tc>
      </w:tr>
    </w:tbl>
    <w:p>
      <w:pPr>
        <w:pStyle w:val="Heading1"/>
      </w:pPr>
      <w:r>
        <w:t>3. Targets &amp; Trajectory</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456"/>
            <w:shd w:val="clear" w:fill="1B4D89"/>
          </w:tcPr>
          <w:p>
            <w:r/>
            <w:r>
              <w:rPr>
                <w:rFonts w:ascii="Arial" w:hAnsi="Arial"/>
                <w:b/>
                <w:color w:val="FFFFFF"/>
                <w:sz w:val="16"/>
              </w:rPr>
              <w:t>Target</w:t>
            </w:r>
          </w:p>
        </w:tc>
        <w:tc>
          <w:tcPr>
            <w:tcW w:type="dxa" w:w="1728"/>
            <w:shd w:val="clear" w:fill="1B4D89"/>
          </w:tcPr>
          <w:p>
            <w:r/>
            <w:r>
              <w:rPr>
                <w:rFonts w:ascii="Arial" w:hAnsi="Arial"/>
                <w:b/>
                <w:color w:val="FFFFFF"/>
                <w:sz w:val="16"/>
              </w:rPr>
              <w:t>Baseline</w:t>
            </w:r>
          </w:p>
        </w:tc>
        <w:tc>
          <w:tcPr>
            <w:tcW w:type="dxa" w:w="1728"/>
            <w:shd w:val="clear" w:fill="1B4D89"/>
          </w:tcPr>
          <w:p>
            <w:r/>
            <w:r>
              <w:rPr>
                <w:rFonts w:ascii="Arial" w:hAnsi="Arial"/>
                <w:b/>
                <w:color w:val="FFFFFF"/>
                <w:sz w:val="16"/>
              </w:rPr>
              <w:t>Current</w:t>
            </w:r>
          </w:p>
        </w:tc>
        <w:tc>
          <w:tcPr>
            <w:tcW w:type="dxa" w:w="2016"/>
            <w:shd w:val="clear" w:fill="1B4D89"/>
          </w:tcPr>
          <w:p>
            <w:r/>
            <w:r>
              <w:rPr>
                <w:rFonts w:ascii="Arial" w:hAnsi="Arial"/>
                <w:b/>
                <w:color w:val="FFFFFF"/>
                <w:sz w:val="16"/>
              </w:rPr>
              <w:t>2030 / Target</w:t>
            </w:r>
          </w:p>
        </w:tc>
        <w:tc>
          <w:tcPr>
            <w:tcW w:type="dxa" w:w="1296"/>
            <w:shd w:val="clear" w:fill="1B4D89"/>
          </w:tcPr>
          <w:p>
            <w:r/>
            <w:r>
              <w:rPr>
                <w:rFonts w:ascii="Arial" w:hAnsi="Arial"/>
                <w:b/>
                <w:color w:val="FFFFFF"/>
                <w:sz w:val="16"/>
              </w:rPr>
              <w:t>RAG</w:t>
            </w:r>
          </w:p>
        </w:tc>
      </w:tr>
      <w:tr>
        <w:tc>
          <w:tcPr>
            <w:tcW w:type="dxa" w:w="3456"/>
          </w:tcPr>
          <w:p>
            <w:r/>
            <w:r>
              <w:rPr>
                <w:rFonts w:ascii="Arial" w:hAnsi="Arial"/>
                <w:b w:val="0"/>
                <w:sz w:val="16"/>
              </w:rPr>
              <w:t>Net-zero pathway (Scope 1-2)</w:t>
            </w:r>
          </w:p>
        </w:tc>
        <w:tc>
          <w:tcPr>
            <w:tcW w:type="dxa" w:w="1728"/>
          </w:tcPr>
          <w:p>
            <w:r/>
            <w:r>
              <w:rPr>
                <w:rFonts w:ascii="Arial" w:hAnsi="Arial"/>
                <w:b w:val="0"/>
                <w:sz w:val="16"/>
              </w:rPr>
              <w:t>[ ]</w:t>
            </w:r>
          </w:p>
        </w:tc>
        <w:tc>
          <w:tcPr>
            <w:tcW w:type="dxa" w:w="1728"/>
          </w:tcPr>
          <w:p>
            <w:r/>
            <w:r>
              <w:rPr>
                <w:rFonts w:ascii="Arial" w:hAnsi="Arial"/>
                <w:b w:val="0"/>
                <w:sz w:val="16"/>
              </w:rPr>
              <w:t>[ ]</w:t>
            </w:r>
          </w:p>
        </w:tc>
        <w:tc>
          <w:tcPr>
            <w:tcW w:type="dxa" w:w="2016"/>
          </w:tcPr>
          <w:p>
            <w:r/>
            <w:r>
              <w:rPr>
                <w:rFonts w:ascii="Arial" w:hAnsi="Arial"/>
                <w:b w:val="0"/>
                <w:sz w:val="16"/>
              </w:rPr>
              <w:t>[ ]</w:t>
            </w:r>
          </w:p>
        </w:tc>
        <w:tc>
          <w:tcPr>
            <w:tcW w:type="dxa" w:w="1296"/>
            <w:shd w:val="clear" w:fill="E08A2B"/>
          </w:tcPr>
          <w:p>
            <w:pPr>
              <w:jc w:val="center"/>
            </w:pPr>
            <w:r/>
            <w:r>
              <w:rPr>
                <w:rFonts w:ascii="Arial" w:hAnsi="Arial"/>
                <w:b/>
                <w:color w:val="FFFFFF"/>
                <w:sz w:val="16"/>
              </w:rPr>
              <w:t>Amber</w:t>
            </w:r>
          </w:p>
        </w:tc>
      </w:tr>
      <w:tr>
        <w:tc>
          <w:tcPr>
            <w:tcW w:type="dxa" w:w="3456"/>
            <w:shd w:val="clear" w:fill="F4F7FB"/>
          </w:tcPr>
          <w:p>
            <w:r/>
            <w:r>
              <w:rPr>
                <w:rFonts w:ascii="Arial" w:hAnsi="Arial"/>
                <w:b w:val="0"/>
                <w:sz w:val="16"/>
              </w:rPr>
              <w:t>Renewable energy</w:t>
            </w:r>
          </w:p>
        </w:tc>
        <w:tc>
          <w:tcPr>
            <w:tcW w:type="dxa" w:w="1728"/>
            <w:shd w:val="clear" w:fill="F4F7FB"/>
          </w:tcPr>
          <w:p>
            <w:r/>
            <w:r>
              <w:rPr>
                <w:rFonts w:ascii="Arial" w:hAnsi="Arial"/>
                <w:b w:val="0"/>
                <w:sz w:val="16"/>
              </w:rPr>
              <w:t>15%</w:t>
            </w:r>
          </w:p>
        </w:tc>
        <w:tc>
          <w:tcPr>
            <w:tcW w:type="dxa" w:w="1728"/>
            <w:shd w:val="clear" w:fill="F4F7FB"/>
          </w:tcPr>
          <w:p>
            <w:r/>
            <w:r>
              <w:rPr>
                <w:rFonts w:ascii="Arial" w:hAnsi="Arial"/>
                <w:b w:val="0"/>
                <w:sz w:val="16"/>
              </w:rPr>
              <w:t>22%</w:t>
            </w:r>
          </w:p>
        </w:tc>
        <w:tc>
          <w:tcPr>
            <w:tcW w:type="dxa" w:w="2016"/>
            <w:shd w:val="clear" w:fill="F4F7FB"/>
          </w:tcPr>
          <w:p>
            <w:r/>
            <w:r>
              <w:rPr>
                <w:rFonts w:ascii="Arial" w:hAnsi="Arial"/>
                <w:b w:val="0"/>
                <w:sz w:val="16"/>
              </w:rPr>
              <w:t>40%</w:t>
            </w:r>
          </w:p>
        </w:tc>
        <w:tc>
          <w:tcPr>
            <w:tcW w:type="dxa" w:w="1296"/>
            <w:shd w:val="clear" w:fill="F4F7FB"/>
            <w:shd w:val="clear" w:fill="E08A2B"/>
          </w:tcPr>
          <w:p>
            <w:pPr>
              <w:jc w:val="center"/>
            </w:pPr>
            <w:r/>
            <w:r>
              <w:rPr>
                <w:rFonts w:ascii="Arial" w:hAnsi="Arial"/>
                <w:b/>
                <w:color w:val="FFFFFF"/>
                <w:sz w:val="16"/>
              </w:rPr>
              <w:t>Amber</w:t>
            </w:r>
          </w:p>
        </w:tc>
      </w:tr>
      <w:tr>
        <w:tc>
          <w:tcPr>
            <w:tcW w:type="dxa" w:w="3456"/>
          </w:tcPr>
          <w:p>
            <w:r/>
            <w:r>
              <w:rPr>
                <w:rFonts w:ascii="Arial" w:hAnsi="Arial"/>
                <w:b w:val="0"/>
                <w:sz w:val="16"/>
              </w:rPr>
              <w:t>Women in leadership</w:t>
            </w:r>
          </w:p>
        </w:tc>
        <w:tc>
          <w:tcPr>
            <w:tcW w:type="dxa" w:w="1728"/>
          </w:tcPr>
          <w:p>
            <w:r/>
            <w:r>
              <w:rPr>
                <w:rFonts w:ascii="Arial" w:hAnsi="Arial"/>
                <w:b w:val="0"/>
                <w:sz w:val="16"/>
              </w:rPr>
              <w:t>24%</w:t>
            </w:r>
          </w:p>
        </w:tc>
        <w:tc>
          <w:tcPr>
            <w:tcW w:type="dxa" w:w="1728"/>
          </w:tcPr>
          <w:p>
            <w:r/>
            <w:r>
              <w:rPr>
                <w:rFonts w:ascii="Arial" w:hAnsi="Arial"/>
                <w:b w:val="0"/>
                <w:sz w:val="16"/>
              </w:rPr>
              <w:t>29%</w:t>
            </w:r>
          </w:p>
        </w:tc>
        <w:tc>
          <w:tcPr>
            <w:tcW w:type="dxa" w:w="2016"/>
          </w:tcPr>
          <w:p>
            <w:r/>
            <w:r>
              <w:rPr>
                <w:rFonts w:ascii="Arial" w:hAnsi="Arial"/>
                <w:b w:val="0"/>
                <w:sz w:val="16"/>
              </w:rPr>
              <w:t>40%</w:t>
            </w:r>
          </w:p>
        </w:tc>
        <w:tc>
          <w:tcPr>
            <w:tcW w:type="dxa" w:w="1296"/>
            <w:shd w:val="clear" w:fill="E08A2B"/>
          </w:tcPr>
          <w:p>
            <w:pPr>
              <w:jc w:val="center"/>
            </w:pPr>
            <w:r/>
            <w:r>
              <w:rPr>
                <w:rFonts w:ascii="Arial" w:hAnsi="Arial"/>
                <w:b/>
                <w:color w:val="FFFFFF"/>
                <w:sz w:val="16"/>
              </w:rPr>
              <w:t>Amber</w:t>
            </w:r>
          </w:p>
        </w:tc>
      </w:tr>
    </w:tbl>
    <w:p>
      <w:pPr>
        <w:pStyle w:val="Heading1"/>
      </w:pPr>
      <w:r>
        <w:t>4. Top ESG Risks</w:t>
      </w:r>
    </w:p>
    <w:tbl>
      <w:tblPr>
        <w:tblStyle w:val="TableGrid"/>
        <w:tblW w:type="auto" w:w="0"/>
        <w:jc w:val="center"/>
        <w:tblLook w:firstColumn="1" w:firstRow="1" w:lastColumn="0" w:lastRow="0" w:noHBand="0" w:noVBand="1" w:val="04A0"/>
      </w:tblPr>
      <w:tblGrid>
        <w:gridCol w:w="3264"/>
        <w:gridCol w:w="3264"/>
        <w:gridCol w:w="3264"/>
      </w:tblGrid>
      <w:tr>
        <w:tc>
          <w:tcPr>
            <w:tcW w:type="dxa" w:w="4896"/>
            <w:shd w:val="clear" w:fill="1B4D89"/>
          </w:tcPr>
          <w:p>
            <w:r/>
            <w:r>
              <w:rPr>
                <w:rFonts w:ascii="Arial" w:hAnsi="Arial"/>
                <w:b/>
                <w:color w:val="FFFFFF"/>
                <w:sz w:val="16"/>
              </w:rPr>
              <w:t>Risk</w:t>
            </w:r>
          </w:p>
        </w:tc>
        <w:tc>
          <w:tcPr>
            <w:tcW w:type="dxa" w:w="2304"/>
            <w:shd w:val="clear" w:fill="1B4D89"/>
          </w:tcPr>
          <w:p>
            <w:r/>
            <w:r>
              <w:rPr>
                <w:rFonts w:ascii="Arial" w:hAnsi="Arial"/>
                <w:b/>
                <w:color w:val="FFFFFF"/>
                <w:sz w:val="16"/>
              </w:rPr>
              <w:t>Rating</w:t>
            </w:r>
          </w:p>
        </w:tc>
        <w:tc>
          <w:tcPr>
            <w:tcW w:type="dxa" w:w="4320"/>
            <w:shd w:val="clear" w:fill="1B4D89"/>
          </w:tcPr>
          <w:p>
            <w:r/>
            <w:r>
              <w:rPr>
                <w:rFonts w:ascii="Arial" w:hAnsi="Arial"/>
                <w:b/>
                <w:color w:val="FFFFFF"/>
                <w:sz w:val="16"/>
              </w:rPr>
              <w:t>Owner</w:t>
            </w:r>
          </w:p>
        </w:tc>
      </w:tr>
      <w:tr>
        <w:tc>
          <w:tcPr>
            <w:tcW w:type="dxa" w:w="4896"/>
          </w:tcPr>
          <w:p>
            <w:r/>
            <w:r>
              <w:rPr>
                <w:rFonts w:ascii="Arial" w:hAnsi="Arial"/>
                <w:b w:val="0"/>
                <w:sz w:val="16"/>
              </w:rPr>
              <w:t>Climate transition risk</w:t>
            </w:r>
          </w:p>
        </w:tc>
        <w:tc>
          <w:tcPr>
            <w:tcW w:type="dxa" w:w="2304"/>
            <w:shd w:val="clear" w:fill="B23A48"/>
          </w:tcPr>
          <w:p>
            <w:pPr>
              <w:jc w:val="center"/>
            </w:pPr>
            <w:r/>
            <w:r>
              <w:rPr>
                <w:rFonts w:ascii="Arial" w:hAnsi="Arial"/>
                <w:b/>
                <w:color w:val="FFFFFF"/>
                <w:sz w:val="16"/>
              </w:rPr>
              <w:t>High</w:t>
            </w:r>
          </w:p>
        </w:tc>
        <w:tc>
          <w:tcPr>
            <w:tcW w:type="dxa" w:w="4320"/>
          </w:tcPr>
          <w:p>
            <w:r/>
            <w:r>
              <w:rPr>
                <w:rFonts w:ascii="Arial" w:hAnsi="Arial"/>
                <w:b w:val="0"/>
                <w:sz w:val="16"/>
              </w:rPr>
              <w:t>CSO</w:t>
            </w:r>
          </w:p>
        </w:tc>
      </w:tr>
      <w:tr>
        <w:tc>
          <w:tcPr>
            <w:tcW w:type="dxa" w:w="4896"/>
            <w:shd w:val="clear" w:fill="F4F7FB"/>
          </w:tcPr>
          <w:p>
            <w:r/>
            <w:r>
              <w:rPr>
                <w:rFonts w:ascii="Arial" w:hAnsi="Arial"/>
                <w:b w:val="0"/>
                <w:sz w:val="16"/>
              </w:rPr>
              <w:t>Supply chain ESG</w:t>
            </w:r>
          </w:p>
        </w:tc>
        <w:tc>
          <w:tcPr>
            <w:tcW w:type="dxa" w:w="2304"/>
            <w:shd w:val="clear" w:fill="F4F7FB"/>
            <w:shd w:val="clear" w:fill="D4B106"/>
          </w:tcPr>
          <w:p>
            <w:pPr>
              <w:jc w:val="center"/>
            </w:pPr>
            <w:r/>
            <w:r>
              <w:rPr>
                <w:rFonts w:ascii="Arial" w:hAnsi="Arial"/>
                <w:b/>
                <w:color w:val="FFFFFF"/>
                <w:sz w:val="16"/>
              </w:rPr>
              <w:t>Medium</w:t>
            </w:r>
          </w:p>
        </w:tc>
        <w:tc>
          <w:tcPr>
            <w:tcW w:type="dxa" w:w="4320"/>
            <w:shd w:val="clear" w:fill="F4F7FB"/>
          </w:tcPr>
          <w:p>
            <w:r/>
            <w:r>
              <w:rPr>
                <w:rFonts w:ascii="Arial" w:hAnsi="Arial"/>
                <w:b w:val="0"/>
                <w:sz w:val="16"/>
              </w:rPr>
              <w:t>Procurement</w:t>
            </w:r>
          </w:p>
        </w:tc>
      </w:tr>
      <w:tr>
        <w:tc>
          <w:tcPr>
            <w:tcW w:type="dxa" w:w="4896"/>
          </w:tcPr>
          <w:p>
            <w:r/>
            <w:r>
              <w:rPr>
                <w:rFonts w:ascii="Arial" w:hAnsi="Arial"/>
                <w:b w:val="0"/>
                <w:sz w:val="16"/>
              </w:rPr>
              <w:t>Disclosure / greenwashing</w:t>
            </w:r>
          </w:p>
        </w:tc>
        <w:tc>
          <w:tcPr>
            <w:tcW w:type="dxa" w:w="2304"/>
            <w:shd w:val="clear" w:fill="D4B106"/>
          </w:tcPr>
          <w:p>
            <w:pPr>
              <w:jc w:val="center"/>
            </w:pPr>
            <w:r/>
            <w:r>
              <w:rPr>
                <w:rFonts w:ascii="Arial" w:hAnsi="Arial"/>
                <w:b/>
                <w:color w:val="FFFFFF"/>
                <w:sz w:val="16"/>
              </w:rPr>
              <w:t>Medium</w:t>
            </w:r>
          </w:p>
        </w:tc>
        <w:tc>
          <w:tcPr>
            <w:tcW w:type="dxa" w:w="4320"/>
          </w:tcPr>
          <w:p>
            <w:r/>
            <w:r>
              <w:rPr>
                <w:rFonts w:ascii="Arial" w:hAnsi="Arial"/>
                <w:b w:val="0"/>
                <w:sz w:val="16"/>
              </w:rPr>
              <w:t>CSO</w:t>
            </w:r>
          </w:p>
        </w:tc>
      </w:tr>
    </w:tbl>
    <w:p>
      <w:pPr>
        <w:pStyle w:val="Heading1"/>
      </w:pPr>
      <w:r>
        <w:t>5. Decisions Sought</w:t>
      </w:r>
    </w:p>
    <w:p>
      <w:pPr>
        <w:pStyle w:val="ListBullet"/>
      </w:pPr>
      <w:r>
        <w:rPr>
          <w:sz w:val="19"/>
        </w:rPr>
        <w:t>[decision 1]</w:t>
      </w:r>
    </w:p>
    <w:p>
      <w:pPr>
        <w:pStyle w:val="ListBullet"/>
      </w:pPr>
      <w:r>
        <w:rPr>
          <w:sz w:val="19"/>
        </w:rPr>
        <w:t>[decision 2]</w:t>
      </w:r>
    </w:p>
    <w:p>
      <w:pPr>
        <w:pStyle w:val="Heading2"/>
      </w:pPr>
      <w:r>
        <w:t>Notes &amp; Disclaimer</w:t>
      </w:r>
    </w:p>
    <w:p>
      <w:r>
        <w:rPr>
          <w:b w:val="0"/>
          <w:i/>
          <w:sz w:val="18"/>
        </w:rPr>
        <w:t>This resource is a professional ESG and sustainability template, not assurance, legal, investment or regulatory advice. It is anchored to GRI, ISSB (IFRS S1 &amp; S2), TCFD, SASB, the UN SDGs, the UN Global Compact, the GHG Protocol, ISO 14001, ISO 26000 and CDP, and to FRCN, NGX, SEC, the CBN Sustainable Banking Principles and NAICOM — referenced by name only, with no copyrighted standard content reproduced. Calibrate topics, metrics, targets, factors and thresholds to your organisation and confirm requirements against the current standards and applicable regulation. Bracketed fields [like this] and sample entries are editable, illustrative placeholders; emission factors and figures are not authoritative.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