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Arial" w:hAnsi="Arial"/>
          <w:color w:val="C26B3C"/>
          <w:sz w:val="16"/>
        </w:rPr>
        <w:t>OUTLIERS PROFESSIONAL  ·  FINANCE &amp; TREASURY CENTRE</w:t>
      </w:r>
    </w:p>
    <w:p>
      <w:pPr>
        <w:pStyle w:val="Title"/>
      </w:pPr>
      <w:r>
        <w:rPr>
          <w:rFonts w:ascii="Arial" w:hAnsi="Arial"/>
          <w:color w:val="1F2A44"/>
        </w:rPr>
        <w:t>FX Hedging Policy</w:t>
      </w:r>
    </w:p>
    <w:p>
      <w:r>
        <w:rPr>
          <w:rFonts w:ascii="Arial" w:hAnsi="Arial"/>
          <w:b/>
          <w:sz w:val="22"/>
        </w:rPr>
        <w:t>Policy · Treasury Policy · Enterprise tier</w:t>
      </w:r>
    </w:p>
    <w:p>
      <w:r>
        <w:rPr>
          <w:rFonts w:ascii="Arial" w:hAnsi="Arial"/>
          <w:sz w:val="22"/>
        </w:rPr>
        <w:t>Policy covering FX exposure identification, hedge ratios, instruments and reporting.</w:t>
      </w:r>
    </w:p>
    <w:p>
      <w:pPr>
        <w:pStyle w:val="Heading1"/>
      </w:pPr>
      <w:r>
        <w:rPr>
          <w:rFonts w:ascii="Arial" w:hAnsi="Arial"/>
          <w:color w:val="1F2A44"/>
        </w:rPr>
        <w:t>1. Purpose</w:t>
      </w:r>
    </w:p>
    <w:p>
      <w:r>
        <w:rPr>
          <w:rFonts w:ascii="Arial" w:hAnsi="Arial"/>
          <w:sz w:val="22"/>
        </w:rPr>
        <w:t>Defines transaction, translation and economic exposure; hedge horizons; permitted instruments; documentation and effectiveness testing.</w:t>
      </w:r>
    </w:p>
    <w:p>
      <w:pPr>
        <w:pStyle w:val="Heading1"/>
      </w:pPr>
      <w:r>
        <w:rPr>
          <w:rFonts w:ascii="Arial" w:hAnsi="Arial"/>
          <w:color w:val="1F2A44"/>
        </w:rPr>
        <w:t>2. Who should use this</w:t>
      </w:r>
    </w:p>
    <w:p>
      <w:pPr>
        <w:pStyle w:val="ListBullet"/>
      </w:pPr>
      <w:r>
        <w:rPr>
          <w:rFonts w:ascii="Arial" w:hAnsi="Arial"/>
          <w:sz w:val="22"/>
        </w:rPr>
        <w:t>Treasurer</w:t>
      </w:r>
    </w:p>
    <w:p>
      <w:pPr>
        <w:pStyle w:val="ListBullet"/>
      </w:pPr>
      <w:r>
        <w:rPr>
          <w:rFonts w:ascii="Arial" w:hAnsi="Arial"/>
          <w:sz w:val="22"/>
        </w:rPr>
        <w:t>Risk Committee</w:t>
      </w:r>
    </w:p>
    <w:p>
      <w:pPr>
        <w:pStyle w:val="Heading1"/>
      </w:pPr>
      <w:r>
        <w:rPr>
          <w:rFonts w:ascii="Arial" w:hAnsi="Arial"/>
          <w:color w:val="1F2A44"/>
        </w:rPr>
        <w:t>3. When to use it</w:t>
      </w:r>
    </w:p>
    <w:p>
      <w:pPr>
        <w:pStyle w:val="ListBullet"/>
      </w:pPr>
      <w:r>
        <w:rPr>
          <w:rFonts w:ascii="Arial" w:hAnsi="Arial"/>
          <w:sz w:val="22"/>
        </w:rPr>
        <w:t>At the start of every policy cycle for the group.</w:t>
      </w:r>
    </w:p>
    <w:p>
      <w:pPr>
        <w:pStyle w:val="ListBullet"/>
      </w:pPr>
      <w:r>
        <w:rPr>
          <w:rFonts w:ascii="Arial" w:hAnsi="Arial"/>
          <w:sz w:val="22"/>
        </w:rPr>
        <w:t>Whenever a material change occurs in the underlying business, regulation or risk profile.</w:t>
      </w:r>
    </w:p>
    <w:p>
      <w:pPr>
        <w:pStyle w:val="ListBullet"/>
      </w:pPr>
      <w:r>
        <w:rPr>
          <w:rFonts w:ascii="Arial" w:hAnsi="Arial"/>
          <w:sz w:val="22"/>
        </w:rPr>
        <w:t>During quarterly management and board reviews.</w:t>
      </w:r>
    </w:p>
    <w:p>
      <w:pPr>
        <w:pStyle w:val="ListBullet"/>
      </w:pPr>
      <w:r>
        <w:rPr>
          <w:rFonts w:ascii="Arial" w:hAnsi="Arial"/>
          <w:sz w:val="22"/>
        </w:rPr>
        <w:t>As part of internal audit and second-line assurance work.</w:t>
      </w:r>
    </w:p>
    <w:p>
      <w:pPr>
        <w:pStyle w:val="Heading1"/>
      </w:pPr>
      <w:r>
        <w:rPr>
          <w:rFonts w:ascii="Arial" w:hAnsi="Arial"/>
          <w:color w:val="1F2A44"/>
        </w:rPr>
        <w:t>4. Step-by-step usage</w:t>
      </w:r>
    </w:p>
    <w:p>
      <w:pPr>
        <w:pStyle w:val="ListNumber"/>
      </w:pPr>
      <w:r>
        <w:rPr>
          <w:rFonts w:ascii="Arial" w:hAnsi="Arial"/>
          <w:sz w:val="22"/>
        </w:rPr>
        <w:t>Confirm board sponsor and assign a policy owner (typically Group Treasurer or CFO).</w:t>
      </w:r>
    </w:p>
    <w:p>
      <w:pPr>
        <w:pStyle w:val="ListNumber"/>
      </w:pPr>
      <w:r>
        <w:rPr>
          <w:rFonts w:ascii="Arial" w:hAnsi="Arial"/>
          <w:sz w:val="22"/>
        </w:rPr>
        <w:t>Tailor scope, definitions and risk appetite statements to the group's structure and currencies.</w:t>
      </w:r>
    </w:p>
    <w:p>
      <w:pPr>
        <w:pStyle w:val="ListNumber"/>
      </w:pPr>
      <w:r>
        <w:rPr>
          <w:rFonts w:ascii="Arial" w:hAnsi="Arial"/>
          <w:sz w:val="22"/>
        </w:rPr>
        <w:t>Populate delegated authorities, counterparty tiers, limits and instrument lists.</w:t>
      </w:r>
    </w:p>
    <w:p>
      <w:pPr>
        <w:pStyle w:val="ListNumber"/>
      </w:pPr>
      <w:r>
        <w:rPr>
          <w:rFonts w:ascii="Arial" w:hAnsi="Arial"/>
          <w:sz w:val="22"/>
        </w:rPr>
        <w:t>Circulate to Risk Committee for review and capture comments in a decision log.</w:t>
      </w:r>
    </w:p>
    <w:p>
      <w:pPr>
        <w:pStyle w:val="ListNumber"/>
      </w:pPr>
      <w:r>
        <w:rPr>
          <w:rFonts w:ascii="Arial" w:hAnsi="Arial"/>
          <w:sz w:val="22"/>
        </w:rPr>
        <w:t>Approve at the Board and publish to the policy register; communicate to all affected teams.</w:t>
      </w:r>
    </w:p>
    <w:p>
      <w:pPr>
        <w:pStyle w:val="ListNumber"/>
      </w:pPr>
      <w:r>
        <w:rPr>
          <w:rFonts w:ascii="Arial" w:hAnsi="Arial"/>
          <w:sz w:val="22"/>
        </w:rPr>
        <w:t>Embed in operational procedures, system controls and limit configurations.</w:t>
      </w:r>
    </w:p>
    <w:p>
      <w:pPr>
        <w:pStyle w:val="ListNumber"/>
      </w:pPr>
      <w:r>
        <w:rPr>
          <w:rFonts w:ascii="Arial" w:hAnsi="Arial"/>
          <w:sz w:val="22"/>
        </w:rPr>
        <w:t>Test compliance through internal audit and refresh annually or on material change.</w:t>
      </w:r>
    </w:p>
    <w:p>
      <w:pPr>
        <w:pStyle w:val="Heading1"/>
      </w:pPr>
      <w:r>
        <w:rPr>
          <w:rFonts w:ascii="Arial" w:hAnsi="Arial"/>
          <w:color w:val="1F2A44"/>
        </w:rPr>
        <w:t>5. Controls and approval workflow</w:t>
      </w:r>
    </w:p>
    <w:p>
      <w:pPr>
        <w:pStyle w:val="ListBullet"/>
      </w:pPr>
      <w:r>
        <w:rPr>
          <w:rFonts w:ascii="Arial" w:hAnsi="Arial"/>
          <w:sz w:val="22"/>
        </w:rPr>
        <w:t>Segregation of duties between preparer, reviewer and approver.</w:t>
      </w:r>
    </w:p>
    <w:p>
      <w:pPr>
        <w:pStyle w:val="ListBullet"/>
      </w:pPr>
      <w:r>
        <w:rPr>
          <w:rFonts w:ascii="Arial" w:hAnsi="Arial"/>
          <w:sz w:val="22"/>
        </w:rPr>
        <w:t>Documented delegated authority with monetary and instrument limits.</w:t>
      </w:r>
    </w:p>
    <w:p>
      <w:pPr>
        <w:pStyle w:val="ListBullet"/>
      </w:pPr>
      <w:r>
        <w:rPr>
          <w:rFonts w:ascii="Arial" w:hAnsi="Arial"/>
          <w:sz w:val="22"/>
        </w:rPr>
        <w:t>System-enforced limits where the toolkit drives downstream payments or trades.</w:t>
      </w:r>
    </w:p>
    <w:p>
      <w:pPr>
        <w:pStyle w:val="ListBullet"/>
      </w:pPr>
      <w:r>
        <w:rPr>
          <w:rFonts w:ascii="Arial" w:hAnsi="Arial"/>
          <w:sz w:val="22"/>
        </w:rPr>
        <w:t>Quarterly independent review by Internal Audit or second-line Risk.</w:t>
      </w:r>
    </w:p>
    <w:p>
      <w:pPr>
        <w:pStyle w:val="ListBullet"/>
      </w:pPr>
      <w:r>
        <w:rPr>
          <w:rFonts w:ascii="Arial" w:hAnsi="Arial"/>
          <w:sz w:val="22"/>
        </w:rPr>
        <w:t>Exception log retained for at least seven years for regulatory inspection.</w:t>
      </w:r>
    </w:p>
    <w:p>
      <w:pPr>
        <w:pStyle w:val="Heading1"/>
      </w:pPr>
      <w:r>
        <w:rPr>
          <w:rFonts w:ascii="Arial" w:hAnsi="Arial"/>
          <w:color w:val="1F2A44"/>
        </w:rPr>
        <w:t>6. Review frequency</w:t>
      </w:r>
    </w:p>
    <w:p>
      <w:r>
        <w:rPr>
          <w:rFonts w:ascii="Arial" w:hAnsi="Arial"/>
          <w:sz w:val="22"/>
        </w:rPr>
        <w:t>Annual board review; immediate refresh on material change in regulation, capital structure or risk appetite.</w:t>
      </w:r>
    </w:p>
    <w:p>
      <w:pPr>
        <w:pStyle w:val="Heading1"/>
      </w:pPr>
      <w:r>
        <w:rPr>
          <w:rFonts w:ascii="Arial" w:hAnsi="Arial"/>
          <w:color w:val="1F2A44"/>
        </w:rPr>
        <w:t>7. Sample working template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Arial" w:hAnsi="Arial"/>
                <w:b/>
                <w:sz w:val="20"/>
              </w:rPr>
              <w:t>Section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b/>
                <w:sz w:val="20"/>
              </w:rPr>
              <w:t>Owner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b/>
                <w:sz w:val="20"/>
              </w:rPr>
              <w:t>Authority Limit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b/>
                <w:sz w:val="20"/>
              </w:rPr>
              <w:t>Approval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b/>
                <w:sz w:val="20"/>
              </w:rPr>
              <w:t>Review</w:t>
            </w:r>
          </w:p>
        </w:tc>
      </w:tr>
      <w:tr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Cash investment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Treasurer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Up to NGN 5bn / counterparty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Treasury Committee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Quarterly</w:t>
            </w:r>
          </w:p>
        </w:tc>
      </w:tr>
      <w:tr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FX hedging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Head of FX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Up to 80% of forecast exposure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Risk Committee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Monthly</w:t>
            </w:r>
          </w:p>
        </w:tc>
      </w:tr>
      <w:tr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Debt issuance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CFO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Per approved funding plan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Board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Per facility</w:t>
            </w:r>
          </w:p>
        </w:tc>
      </w:tr>
      <w:tr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Bank account opening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Treasury Ops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Pre-approved bank panel only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Group Treasurer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Annual</w:t>
            </w:r>
          </w:p>
        </w:tc>
      </w:tr>
    </w:tbl>
    <w:p>
      <w:pPr>
        <w:pStyle w:val="Heading1"/>
      </w:pPr>
      <w:r>
        <w:rPr>
          <w:rFonts w:ascii="Arial" w:hAnsi="Arial"/>
          <w:color w:val="1F2A44"/>
        </w:rPr>
        <w:t>8. Key topics covered</w:t>
      </w:r>
    </w:p>
    <w:p>
      <w:pPr>
        <w:pStyle w:val="ListBullet"/>
      </w:pPr>
      <w:r>
        <w:rPr>
          <w:rFonts w:ascii="Arial" w:hAnsi="Arial"/>
          <w:sz w:val="22"/>
        </w:rPr>
        <w:t>Hedge ratio</w:t>
      </w:r>
    </w:p>
    <w:p>
      <w:pPr>
        <w:pStyle w:val="ListBullet"/>
      </w:pPr>
      <w:r>
        <w:rPr>
          <w:rFonts w:ascii="Arial" w:hAnsi="Arial"/>
          <w:sz w:val="22"/>
        </w:rPr>
        <w:t>Instruments</w:t>
      </w:r>
    </w:p>
    <w:p>
      <w:pPr>
        <w:pStyle w:val="ListBullet"/>
      </w:pPr>
      <w:r>
        <w:rPr>
          <w:rFonts w:ascii="Arial" w:hAnsi="Arial"/>
          <w:sz w:val="22"/>
        </w:rPr>
        <w:t>Effectiveness</w:t>
      </w:r>
    </w:p>
    <w:p>
      <w:pPr>
        <w:pStyle w:val="Heading1"/>
      </w:pPr>
      <w:r>
        <w:rPr>
          <w:rFonts w:ascii="Arial" w:hAnsi="Arial"/>
          <w:color w:val="1F2A44"/>
        </w:rPr>
        <w:t>9. Implementation notes</w:t>
      </w:r>
    </w:p>
    <w:p>
      <w:pPr>
        <w:pStyle w:val="ListBullet"/>
      </w:pPr>
      <w:r>
        <w:rPr>
          <w:rFonts w:ascii="Arial" w:hAnsi="Arial"/>
          <w:sz w:val="22"/>
        </w:rPr>
        <w:t>Localise to your group's chart of accounts, currencies and entity structure before first use.</w:t>
      </w:r>
    </w:p>
    <w:p>
      <w:pPr>
        <w:pStyle w:val="ListBullet"/>
      </w:pPr>
      <w:r>
        <w:rPr>
          <w:rFonts w:ascii="Arial" w:hAnsi="Arial"/>
          <w:sz w:val="22"/>
        </w:rPr>
        <w:t>Wire the outputs into existing treasury / FP&amp;A reporting cadences rather than running in parallel.</w:t>
      </w:r>
    </w:p>
    <w:p>
      <w:pPr>
        <w:pStyle w:val="ListBullet"/>
      </w:pPr>
      <w:r>
        <w:rPr>
          <w:rFonts w:ascii="Arial" w:hAnsi="Arial"/>
          <w:sz w:val="22"/>
        </w:rPr>
        <w:t>Capture data lineage so each figure can be traced back to its source system.</w:t>
      </w:r>
    </w:p>
    <w:p>
      <w:pPr>
        <w:pStyle w:val="ListBullet"/>
      </w:pPr>
      <w:r>
        <w:rPr>
          <w:rFonts w:ascii="Arial" w:hAnsi="Arial"/>
          <w:sz w:val="22"/>
        </w:rPr>
        <w:t>Run a dry cycle with a small business unit before group-wide rollout.</w:t>
      </w:r>
    </w:p>
    <w:p>
      <w:pPr>
        <w:pStyle w:val="ListBullet"/>
      </w:pPr>
      <w:r>
        <w:rPr>
          <w:rFonts w:ascii="Arial" w:hAnsi="Arial"/>
          <w:sz w:val="22"/>
        </w:rPr>
        <w:t>Pair with the related Outliers framework and assessment to track maturity uplift over time.</w:t>
      </w:r>
    </w:p>
    <w:p>
      <w:r>
        <w:rPr>
          <w:rFonts w:ascii="Arial" w:hAnsi="Arial"/>
          <w:sz w:val="22"/>
        </w:rPr>
        <w:t xml:space="preserve"> </w:t>
      </w:r>
    </w:p>
    <w:p>
      <w:r>
        <w:rPr>
          <w:rFonts w:ascii="Arial" w:hAnsi="Arial"/>
          <w:color w:val="555555"/>
          <w:sz w:val="16"/>
        </w:rPr>
        <w:t>© Outliers Professional. Provided for licensed use within the buying organisation. Not for redistribution.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