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IT Controls Toolkit™</w:t>
      </w:r>
    </w:p>
    <w:p>
      <w:pPr>
        <w:jc w:val="center"/>
      </w:pPr>
      <w:r>
        <w:rPr>
          <w:color w:val="C97B2C"/>
          <w:sz w:val="26"/>
        </w:rPr>
        <w:t>Control the IT environment (ITGC &amp; cyber)</w:t>
      </w:r>
    </w:p>
    <w:p/>
    <w:p/>
    <w:p>
      <w:pPr>
        <w:jc w:val="center"/>
      </w:pPr>
      <w:r>
        <w:rPr>
          <w:color w:val="555555"/>
          <w:sz w:val="20"/>
        </w:rPr>
        <w:t>IT / IT Security / Internal Audit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controls the IT environment that underpins business systems — access, change, operations, backup and cyber controls, drawing on COBIT by name.</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Control logical and privileged access</w:t>
      </w:r>
    </w:p>
    <w:p>
      <w:pPr>
        <w:pStyle w:val="ListBullet"/>
      </w:pPr>
      <w:r>
        <w:rPr>
          <w:sz w:val="19"/>
        </w:rPr>
        <w:t>Control system changes</w:t>
      </w:r>
    </w:p>
    <w:p>
      <w:pPr>
        <w:pStyle w:val="ListBullet"/>
      </w:pPr>
      <w:r>
        <w:rPr>
          <w:sz w:val="19"/>
        </w:rPr>
        <w:t>Operate and monitor IT operations</w:t>
      </w:r>
    </w:p>
    <w:p>
      <w:pPr>
        <w:pStyle w:val="ListBullet"/>
      </w:pPr>
      <w:r>
        <w:rPr>
          <w:sz w:val="19"/>
        </w:rPr>
        <w:t>Ensure backup and recoverability</w:t>
      </w:r>
    </w:p>
    <w:p>
      <w:pPr>
        <w:pStyle w:val="ListBullet"/>
      </w:pPr>
      <w:r>
        <w:rPr>
          <w:sz w:val="19"/>
        </w:rPr>
        <w:t>Operate cyber preventive and detective controls</w:t>
      </w:r>
    </w:p>
    <w:p>
      <w:pPr>
        <w:pStyle w:val="Heading1"/>
      </w:pPr>
      <w:r>
        <w:t>3. Governance</w:t>
      </w:r>
    </w:p>
    <w:p>
      <w:r>
        <w:rPr>
          <w:b w:val="0"/>
          <w:i w:val="0"/>
          <w:sz w:val="20"/>
        </w:rPr>
        <w:t>IT controls are owned by IT (first line), overseen by IT risk/security (second line) and assured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covers IT general controls — access management, change management, IT operations, backup and recovery — and cyber controls, drawing on COBIT governance and control principles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IT (1st line)</w:t>
            </w:r>
          </w:p>
        </w:tc>
        <w:tc>
          <w:tcPr>
            <w:tcW w:type="dxa" w:w="8064"/>
          </w:tcPr>
          <w:p>
            <w:r/>
            <w:r>
              <w:rPr>
                <w:rFonts w:ascii="Arial" w:hAnsi="Arial"/>
                <w:b w:val="0"/>
                <w:sz w:val="17"/>
              </w:rPr>
              <w:t>Operates ITGC and cyber controls</w:t>
            </w:r>
          </w:p>
        </w:tc>
      </w:tr>
      <w:tr>
        <w:tc>
          <w:tcPr>
            <w:tcW w:type="dxa" w:w="3456"/>
            <w:shd w:val="clear" w:fill="F4F7FB"/>
          </w:tcPr>
          <w:p>
            <w:r/>
            <w:r>
              <w:rPr>
                <w:rFonts w:ascii="Arial" w:hAnsi="Arial"/>
                <w:b w:val="0"/>
                <w:sz w:val="17"/>
              </w:rPr>
              <w:t>IT security (2nd line)</w:t>
            </w:r>
          </w:p>
        </w:tc>
        <w:tc>
          <w:tcPr>
            <w:tcW w:type="dxa" w:w="8064"/>
            <w:shd w:val="clear" w:fill="F4F7FB"/>
          </w:tcPr>
          <w:p>
            <w:r/>
            <w:r>
              <w:rPr>
                <w:rFonts w:ascii="Arial" w:hAnsi="Arial"/>
                <w:b w:val="0"/>
                <w:sz w:val="17"/>
              </w:rPr>
              <w:t>Sets policy; monitors access and security</w:t>
            </w:r>
          </w:p>
        </w:tc>
      </w:tr>
      <w:tr>
        <w:tc>
          <w:tcPr>
            <w:tcW w:type="dxa" w:w="3456"/>
          </w:tcPr>
          <w:p>
            <w:r/>
            <w:r>
              <w:rPr>
                <w:rFonts w:ascii="Arial" w:hAnsi="Arial"/>
                <w:b w:val="0"/>
                <w:sz w:val="17"/>
              </w:rPr>
              <w:t>Control owners</w:t>
            </w:r>
          </w:p>
        </w:tc>
        <w:tc>
          <w:tcPr>
            <w:tcW w:type="dxa" w:w="8064"/>
          </w:tcPr>
          <w:p>
            <w:r/>
            <w:r>
              <w:rPr>
                <w:rFonts w:ascii="Arial" w:hAnsi="Arial"/>
                <w:b w:val="0"/>
                <w:sz w:val="17"/>
              </w:rPr>
              <w:t>Perform access reviews and change approvals</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Assures IT controls</w:t>
            </w:r>
          </w:p>
        </w:tc>
      </w:tr>
      <w:tr>
        <w:tc>
          <w:tcPr>
            <w:tcW w:type="dxa" w:w="3456"/>
          </w:tcPr>
          <w:p>
            <w:r/>
            <w:r>
              <w:rPr>
                <w:rFonts w:ascii="Arial" w:hAnsi="Arial"/>
                <w:b w:val="0"/>
                <w:sz w:val="17"/>
              </w:rPr>
              <w:t>Audit committee / Board</w:t>
            </w:r>
          </w:p>
        </w:tc>
        <w:tc>
          <w:tcPr>
            <w:tcW w:type="dxa" w:w="8064"/>
          </w:tcPr>
          <w:p>
            <w:r/>
            <w:r>
              <w:rPr>
                <w:rFonts w:ascii="Arial" w:hAnsi="Arial"/>
                <w:b w:val="0"/>
                <w:sz w:val="17"/>
              </w:rPr>
              <w:t>Oversees IT and cyber risk</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IT-01</w:t>
            </w:r>
          </w:p>
        </w:tc>
        <w:tc>
          <w:tcPr>
            <w:tcW w:type="dxa" w:w="2880"/>
          </w:tcPr>
          <w:p>
            <w:r/>
            <w:r>
              <w:rPr>
                <w:rFonts w:ascii="Arial" w:hAnsi="Arial"/>
                <w:b w:val="0"/>
                <w:sz w:val="16"/>
              </w:rPr>
              <w:t>Inappropriate access</w:t>
            </w:r>
          </w:p>
        </w:tc>
        <w:tc>
          <w:tcPr>
            <w:tcW w:type="dxa" w:w="3744"/>
          </w:tcPr>
          <w:p>
            <w:r/>
            <w:r>
              <w:rPr>
                <w:rFonts w:ascii="Arial" w:hAnsi="Arial"/>
                <w:b w:val="0"/>
                <w:sz w:val="16"/>
              </w:rPr>
              <w:t>Provisioning &amp; periodic access review</w:t>
            </w:r>
          </w:p>
        </w:tc>
        <w:tc>
          <w:tcPr>
            <w:tcW w:type="dxa" w:w="1728"/>
          </w:tcPr>
          <w:p>
            <w:r/>
            <w:r>
              <w:rPr>
                <w:rFonts w:ascii="Arial" w:hAnsi="Arial"/>
                <w:b w:val="0"/>
                <w:sz w:val="16"/>
              </w:rPr>
              <w:t>IT Security</w:t>
            </w:r>
          </w:p>
        </w:tc>
        <w:tc>
          <w:tcPr>
            <w:tcW w:type="dxa" w:w="1296"/>
          </w:tcPr>
          <w:p>
            <w:r/>
            <w:r>
              <w:rPr>
                <w:rFonts w:ascii="Arial" w:hAnsi="Arial"/>
                <w:b w:val="0"/>
                <w:sz w:val="16"/>
              </w:rPr>
              <w:t>Quarterly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IT-03</w:t>
            </w:r>
          </w:p>
        </w:tc>
        <w:tc>
          <w:tcPr>
            <w:tcW w:type="dxa" w:w="2880"/>
            <w:shd w:val="clear" w:fill="F4F7FB"/>
          </w:tcPr>
          <w:p>
            <w:r/>
            <w:r>
              <w:rPr>
                <w:rFonts w:ascii="Arial" w:hAnsi="Arial"/>
                <w:b w:val="0"/>
                <w:sz w:val="16"/>
              </w:rPr>
              <w:t>Unauthorised changes</w:t>
            </w:r>
          </w:p>
        </w:tc>
        <w:tc>
          <w:tcPr>
            <w:tcW w:type="dxa" w:w="3744"/>
            <w:shd w:val="clear" w:fill="F4F7FB"/>
          </w:tcPr>
          <w:p>
            <w:r/>
            <w:r>
              <w:rPr>
                <w:rFonts w:ascii="Arial" w:hAnsi="Arial"/>
                <w:b w:val="0"/>
                <w:sz w:val="16"/>
              </w:rPr>
              <w:t>Change approval and testing process</w:t>
            </w:r>
          </w:p>
        </w:tc>
        <w:tc>
          <w:tcPr>
            <w:tcW w:type="dxa" w:w="1728"/>
            <w:shd w:val="clear" w:fill="F4F7FB"/>
          </w:tcPr>
          <w:p>
            <w:r/>
            <w:r>
              <w:rPr>
                <w:rFonts w:ascii="Arial" w:hAnsi="Arial"/>
                <w:b w:val="0"/>
                <w:sz w:val="16"/>
              </w:rPr>
              <w:t>IT</w:t>
            </w:r>
          </w:p>
        </w:tc>
        <w:tc>
          <w:tcPr>
            <w:tcW w:type="dxa" w:w="1296"/>
            <w:shd w:val="clear" w:fill="F4F7FB"/>
          </w:tcPr>
          <w:p>
            <w:r/>
            <w:r>
              <w:rPr>
                <w:rFonts w:ascii="Arial" w:hAnsi="Arial"/>
                <w:b w:val="0"/>
                <w:sz w:val="16"/>
              </w:rPr>
              <w:t>Event</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IT-05</w:t>
            </w:r>
          </w:p>
        </w:tc>
        <w:tc>
          <w:tcPr>
            <w:tcW w:type="dxa" w:w="2880"/>
          </w:tcPr>
          <w:p>
            <w:r/>
            <w:r>
              <w:rPr>
                <w:rFonts w:ascii="Arial" w:hAnsi="Arial"/>
                <w:b w:val="0"/>
                <w:sz w:val="16"/>
              </w:rPr>
              <w:t>Data loss</w:t>
            </w:r>
          </w:p>
        </w:tc>
        <w:tc>
          <w:tcPr>
            <w:tcW w:type="dxa" w:w="3744"/>
          </w:tcPr>
          <w:p>
            <w:r/>
            <w:r>
              <w:rPr>
                <w:rFonts w:ascii="Arial" w:hAnsi="Arial"/>
                <w:b w:val="0"/>
                <w:sz w:val="16"/>
              </w:rPr>
              <w:t>Backups performed and recovery tested</w:t>
            </w:r>
          </w:p>
        </w:tc>
        <w:tc>
          <w:tcPr>
            <w:tcW w:type="dxa" w:w="1728"/>
          </w:tcPr>
          <w:p>
            <w:r/>
            <w:r>
              <w:rPr>
                <w:rFonts w:ascii="Arial" w:hAnsi="Arial"/>
                <w:b w:val="0"/>
                <w:sz w:val="16"/>
              </w:rPr>
              <w:t>IT Operations</w:t>
            </w:r>
          </w:p>
        </w:tc>
        <w:tc>
          <w:tcPr>
            <w:tcW w:type="dxa" w:w="1296"/>
          </w:tcPr>
          <w:p>
            <w:r/>
            <w:r>
              <w:rPr>
                <w:rFonts w:ascii="Arial" w:hAnsi="Arial"/>
                <w:b w:val="0"/>
                <w:sz w:val="16"/>
              </w:rPr>
              <w:t>Monthly</w:t>
            </w:r>
          </w:p>
        </w:tc>
        <w:tc>
          <w:tcPr>
            <w:tcW w:type="dxa" w:w="1296"/>
          </w:tcPr>
          <w:p>
            <w:r/>
            <w:r>
              <w:rPr>
                <w:rFonts w:ascii="Arial" w:hAnsi="Arial"/>
                <w:b w:val="0"/>
                <w:sz w:val="16"/>
              </w:rPr>
              <w:t>Corrective</w:t>
            </w:r>
          </w:p>
        </w:tc>
      </w:tr>
      <w:tr>
        <w:tc>
          <w:tcPr>
            <w:tcW w:type="dxa" w:w="864"/>
            <w:shd w:val="clear" w:fill="F4F7FB"/>
          </w:tcPr>
          <w:p>
            <w:r/>
            <w:r>
              <w:rPr>
                <w:rFonts w:ascii="Arial" w:hAnsi="Arial"/>
                <w:b w:val="0"/>
                <w:sz w:val="16"/>
              </w:rPr>
              <w:t>IT-06</w:t>
            </w:r>
          </w:p>
        </w:tc>
        <w:tc>
          <w:tcPr>
            <w:tcW w:type="dxa" w:w="2880"/>
            <w:shd w:val="clear" w:fill="F4F7FB"/>
          </w:tcPr>
          <w:p>
            <w:r/>
            <w:r>
              <w:rPr>
                <w:rFonts w:ascii="Arial" w:hAnsi="Arial"/>
                <w:b w:val="0"/>
                <w:sz w:val="16"/>
              </w:rPr>
              <w:t>Cyber compromise</w:t>
            </w:r>
          </w:p>
        </w:tc>
        <w:tc>
          <w:tcPr>
            <w:tcW w:type="dxa" w:w="3744"/>
            <w:shd w:val="clear" w:fill="F4F7FB"/>
          </w:tcPr>
          <w:p>
            <w:r/>
            <w:r>
              <w:rPr>
                <w:rFonts w:ascii="Arial" w:hAnsi="Arial"/>
                <w:b w:val="0"/>
                <w:sz w:val="16"/>
              </w:rPr>
              <w:t>Logical security and monitoring</w:t>
            </w:r>
          </w:p>
        </w:tc>
        <w:tc>
          <w:tcPr>
            <w:tcW w:type="dxa" w:w="1728"/>
            <w:shd w:val="clear" w:fill="F4F7FB"/>
          </w:tcPr>
          <w:p>
            <w:r/>
            <w:r>
              <w:rPr>
                <w:rFonts w:ascii="Arial" w:hAnsi="Arial"/>
                <w:b w:val="0"/>
                <w:sz w:val="16"/>
              </w:rPr>
              <w:t>IT Security</w:t>
            </w:r>
          </w:p>
        </w:tc>
        <w:tc>
          <w:tcPr>
            <w:tcW w:type="dxa" w:w="1296"/>
            <w:shd w:val="clear" w:fill="F4F7FB"/>
          </w:tcPr>
          <w:p>
            <w:r/>
            <w:r>
              <w:rPr>
                <w:rFonts w:ascii="Arial" w:hAnsi="Arial"/>
                <w:b w:val="0"/>
                <w:sz w:val="16"/>
              </w:rPr>
              <w:t>Continuous</w:t>
            </w:r>
          </w:p>
        </w:tc>
        <w:tc>
          <w:tcPr>
            <w:tcW w:type="dxa" w:w="1296"/>
            <w:shd w:val="clear" w:fill="F4F7FB"/>
          </w:tcPr>
          <w:p>
            <w:r/>
            <w:r>
              <w:rPr>
                <w:rFonts w:ascii="Arial" w:hAnsi="Arial"/>
                <w:b w:val="0"/>
                <w:sz w:val="16"/>
              </w:rPr>
              <w:t>Preventive</w:t>
            </w:r>
          </w:p>
        </w:tc>
      </w:tr>
    </w:tbl>
    <w:p>
      <w:pPr>
        <w:pStyle w:val="Heading1"/>
      </w:pPr>
      <w:r>
        <w:t>7. Sample Controls</w:t>
      </w:r>
    </w:p>
    <w:p>
      <w:pPr>
        <w:pStyle w:val="ListBullet"/>
      </w:pPr>
      <w:r>
        <w:rPr>
          <w:sz w:val="19"/>
        </w:rPr>
        <w:t>User access provisioning and periodic review</w:t>
      </w:r>
    </w:p>
    <w:p>
      <w:pPr>
        <w:pStyle w:val="ListBullet"/>
      </w:pPr>
      <w:r>
        <w:rPr>
          <w:sz w:val="19"/>
        </w:rPr>
        <w:t>Privileged-access restriction and logging</w:t>
      </w:r>
    </w:p>
    <w:p>
      <w:pPr>
        <w:pStyle w:val="ListBullet"/>
      </w:pPr>
      <w:r>
        <w:rPr>
          <w:sz w:val="19"/>
        </w:rPr>
        <w:t>Change approval, testing and migration controls</w:t>
      </w:r>
    </w:p>
    <w:p>
      <w:pPr>
        <w:pStyle w:val="ListBullet"/>
      </w:pPr>
      <w:r>
        <w:rPr>
          <w:sz w:val="19"/>
        </w:rPr>
        <w:t>Batch/job monitoring and incident management</w:t>
      </w:r>
    </w:p>
    <w:p>
      <w:pPr>
        <w:pStyle w:val="ListBullet"/>
      </w:pPr>
      <w:r>
        <w:rPr>
          <w:sz w:val="19"/>
        </w:rPr>
        <w:t>Backup and tested recovery</w:t>
      </w:r>
    </w:p>
    <w:p>
      <w:pPr>
        <w:pStyle w:val="ListBullet"/>
      </w:pPr>
      <w:r>
        <w:rPr>
          <w:sz w:val="19"/>
        </w:rPr>
        <w:t>Logical security and security monitoring</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Access controls</w:t>
            </w:r>
          </w:p>
        </w:tc>
        <w:tc>
          <w:tcPr>
            <w:tcW w:type="dxa" w:w="4320"/>
          </w:tcPr>
          <w:p>
            <w:r/>
            <w:r>
              <w:rPr>
                <w:rFonts w:ascii="Arial" w:hAnsi="Arial"/>
                <w:b w:val="0"/>
                <w:sz w:val="16"/>
              </w:rPr>
              <w:t>Review access provisioning/removal for a sample</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Change controls</w:t>
            </w:r>
          </w:p>
        </w:tc>
        <w:tc>
          <w:tcPr>
            <w:tcW w:type="dxa" w:w="4320"/>
            <w:shd w:val="clear" w:fill="F4F7FB"/>
          </w:tcPr>
          <w:p>
            <w:r/>
            <w:r>
              <w:rPr>
                <w:rFonts w:ascii="Arial" w:hAnsi="Arial"/>
                <w:b w:val="0"/>
                <w:sz w:val="16"/>
              </w:rPr>
              <w:t>Inspect change approvals and testing for a sample</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Backup/recovery</w:t>
            </w:r>
          </w:p>
        </w:tc>
        <w:tc>
          <w:tcPr>
            <w:tcW w:type="dxa" w:w="4320"/>
          </w:tcPr>
          <w:p>
            <w:r/>
            <w:r>
              <w:rPr>
                <w:rFonts w:ascii="Arial" w:hAnsi="Arial"/>
                <w:b w:val="0"/>
                <w:sz w:val="16"/>
              </w:rPr>
              <w:t>Review backup logs and recovery test results</w:t>
            </w:r>
          </w:p>
        </w:tc>
        <w:tc>
          <w:tcPr>
            <w:tcW w:type="dxa" w:w="2160"/>
          </w:tcPr>
          <w:p>
            <w:r/>
            <w:r>
              <w:rPr>
                <w:rFonts w:ascii="Arial" w:hAnsi="Arial"/>
                <w:b w:val="0"/>
                <w:sz w:val="16"/>
              </w:rPr>
              <w:t>Sample</w:t>
            </w:r>
          </w:p>
        </w:tc>
        <w:tc>
          <w:tcPr>
            <w:tcW w:type="dxa" w:w="1440"/>
          </w:tcPr>
          <w:p>
            <w:r/>
            <w:r>
              <w:rPr>
                <w:rFonts w:ascii="Arial" w:hAnsi="Arial"/>
                <w:b w:val="0"/>
                <w:sz w:val="16"/>
              </w:rPr>
              <w:t>Monthly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Document IT landscape and risks</w:t>
            </w:r>
          </w:p>
        </w:tc>
        <w:tc>
          <w:tcPr>
            <w:tcW w:type="dxa" w:w="4320"/>
          </w:tcPr>
          <w:p>
            <w:r/>
            <w:r>
              <w:rPr>
                <w:rFonts w:ascii="Arial" w:hAnsi="Arial"/>
                <w:b w:val="0"/>
                <w:sz w:val="17"/>
              </w:rPr>
              <w:t>ITGC control map</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access and change controls</w:t>
            </w:r>
          </w:p>
        </w:tc>
        <w:tc>
          <w:tcPr>
            <w:tcW w:type="dxa" w:w="4320"/>
            <w:shd w:val="clear" w:fill="F4F7FB"/>
          </w:tcPr>
          <w:p>
            <w:r/>
            <w:r>
              <w:rPr>
                <w:rFonts w:ascii="Arial" w:hAnsi="Arial"/>
                <w:b w:val="0"/>
                <w:sz w:val="17"/>
              </w:rPr>
              <w:t>Operating ITGC</w:t>
            </w:r>
          </w:p>
        </w:tc>
      </w:tr>
      <w:tr>
        <w:tc>
          <w:tcPr>
            <w:tcW w:type="dxa" w:w="1872"/>
          </w:tcPr>
          <w:p>
            <w:r/>
            <w:r>
              <w:rPr>
                <w:rFonts w:ascii="Arial" w:hAnsi="Arial"/>
                <w:b w:val="0"/>
                <w:sz w:val="17"/>
              </w:rPr>
              <w:t>Phase 3</w:t>
            </w:r>
          </w:p>
        </w:tc>
        <w:tc>
          <w:tcPr>
            <w:tcW w:type="dxa" w:w="5328"/>
          </w:tcPr>
          <w:p>
            <w:r/>
            <w:r>
              <w:rPr>
                <w:rFonts w:ascii="Arial" w:hAnsi="Arial"/>
                <w:b w:val="0"/>
                <w:sz w:val="17"/>
              </w:rPr>
              <w:t>Add backup, operations and cyber controls</w:t>
            </w:r>
          </w:p>
        </w:tc>
        <w:tc>
          <w:tcPr>
            <w:tcW w:type="dxa" w:w="4320"/>
          </w:tcPr>
          <w:p>
            <w:r/>
            <w:r>
              <w:rPr>
                <w:rFonts w:ascii="Arial" w:hAnsi="Arial"/>
                <w:b w:val="0"/>
                <w:sz w:val="17"/>
              </w:rPr>
              <w:t>Controlled IT environment</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Monitor and test</w:t>
            </w:r>
          </w:p>
        </w:tc>
        <w:tc>
          <w:tcPr>
            <w:tcW w:type="dxa" w:w="4320"/>
            <w:shd w:val="clear" w:fill="F4F7FB"/>
          </w:tcPr>
          <w:p>
            <w:r/>
            <w:r>
              <w:rPr>
                <w:rFonts w:ascii="Arial" w:hAnsi="Arial"/>
                <w:b w:val="0"/>
                <w:sz w:val="17"/>
              </w:rPr>
              <w:t>Assured IT controls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ITGC Control Matrix (XLSX)</w:t>
      </w:r>
    </w:p>
    <w:p>
      <w:pPr>
        <w:pStyle w:val="ListBullet"/>
      </w:pPr>
      <w:r>
        <w:rPr>
          <w:sz w:val="19"/>
        </w:rPr>
        <w:t>Access Management SOP</w:t>
      </w:r>
    </w:p>
    <w:p>
      <w:pPr>
        <w:pStyle w:val="ListBullet"/>
      </w:pPr>
      <w:r>
        <w:rPr>
          <w:sz w:val="19"/>
        </w:rPr>
        <w:t>Change Management Control SOP</w:t>
      </w:r>
    </w:p>
    <w:p>
      <w:pPr>
        <w:pStyle w:val="ListBullet"/>
      </w:pPr>
      <w:r>
        <w:rPr>
          <w:sz w:val="19"/>
        </w:rPr>
        <w:t>User Access Review Template</w:t>
      </w:r>
    </w:p>
    <w:p>
      <w:pPr>
        <w:pStyle w:val="ListBullet"/>
      </w:pPr>
      <w:r>
        <w:rPr>
          <w:sz w:val="19"/>
        </w:rPr>
        <w:t>Cyber Controls Checklist</w:t>
      </w:r>
    </w:p>
    <w:p>
      <w:pPr>
        <w:pStyle w:val="Heading1"/>
      </w:pPr>
      <w:r>
        <w:t>11. Checklists</w:t>
      </w:r>
    </w:p>
    <w:p>
      <w:pPr>
        <w:ind w:left="288"/>
      </w:pPr>
      <w:r>
        <w:rPr>
          <w:sz w:val="19"/>
        </w:rPr>
        <w:t>☐  Access management controls operating</w:t>
      </w:r>
    </w:p>
    <w:p>
      <w:pPr>
        <w:ind w:left="288"/>
      </w:pPr>
      <w:r>
        <w:rPr>
          <w:sz w:val="19"/>
        </w:rPr>
        <w:t>☐  Privileged access restricted and logged</w:t>
      </w:r>
    </w:p>
    <w:p>
      <w:pPr>
        <w:ind w:left="288"/>
      </w:pPr>
      <w:r>
        <w:rPr>
          <w:sz w:val="19"/>
        </w:rPr>
        <w:t>☐  Periodic user-access reviews performed</w:t>
      </w:r>
    </w:p>
    <w:p>
      <w:pPr>
        <w:ind w:left="288"/>
      </w:pPr>
      <w:r>
        <w:rPr>
          <w:sz w:val="19"/>
        </w:rPr>
        <w:t>☐  Change management process enforced</w:t>
      </w:r>
    </w:p>
    <w:p>
      <w:pPr>
        <w:ind w:left="288"/>
      </w:pPr>
      <w:r>
        <w:rPr>
          <w:sz w:val="19"/>
        </w:rPr>
        <w:t>☐  IT operations monitored</w:t>
      </w:r>
    </w:p>
    <w:p>
      <w:pPr>
        <w:ind w:left="288"/>
      </w:pPr>
      <w:r>
        <w:rPr>
          <w:sz w:val="19"/>
        </w:rPr>
        <w:t>☐  Backups performed and recovery tested</w:t>
      </w:r>
    </w:p>
    <w:p>
      <w:pPr>
        <w:ind w:left="288"/>
      </w:pPr>
      <w:r>
        <w:rPr>
          <w:sz w:val="19"/>
        </w:rPr>
        <w:t>☐  Cyber controls operating</w:t>
      </w:r>
    </w:p>
    <w:p>
      <w:pPr>
        <w:ind w:left="288"/>
      </w:pPr>
      <w:r>
        <w:rPr>
          <w:sz w:val="19"/>
        </w:rPr>
        <w:t>☐  ITGC deficiencies tracked</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Access reviews on time</w:t>
            </w:r>
          </w:p>
        </w:tc>
        <w:tc>
          <w:tcPr>
            <w:tcW w:type="dxa" w:w="1440"/>
          </w:tcPr>
          <w:p>
            <w:r/>
            <w:r>
              <w:rPr>
                <w:rFonts w:ascii="Arial" w:hAnsi="Arial"/>
                <w:b w:val="0"/>
                <w:sz w:val="16"/>
              </w:rPr>
              <w:t>90%</w:t>
            </w:r>
          </w:p>
        </w:tc>
        <w:tc>
          <w:tcPr>
            <w:tcW w:type="dxa" w:w="1440"/>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Complete reviews</w:t>
            </w:r>
          </w:p>
        </w:tc>
      </w:tr>
      <w:tr>
        <w:tc>
          <w:tcPr>
            <w:tcW w:type="dxa" w:w="3168"/>
            <w:shd w:val="clear" w:fill="F4F7FB"/>
          </w:tcPr>
          <w:p>
            <w:r/>
            <w:r>
              <w:rPr>
                <w:rFonts w:ascii="Arial" w:hAnsi="Arial"/>
                <w:b w:val="0"/>
                <w:sz w:val="16"/>
              </w:rPr>
              <w:t>Change compliance</w:t>
            </w:r>
          </w:p>
        </w:tc>
        <w:tc>
          <w:tcPr>
            <w:tcW w:type="dxa" w:w="1440"/>
            <w:shd w:val="clear" w:fill="F4F7FB"/>
          </w:tcPr>
          <w:p>
            <w:r/>
            <w:r>
              <w:rPr>
                <w:rFonts w:ascii="Arial" w:hAnsi="Arial"/>
                <w:b w:val="0"/>
                <w:sz w:val="16"/>
              </w:rPr>
              <w:t>93%</w:t>
            </w:r>
          </w:p>
        </w:tc>
        <w:tc>
          <w:tcPr>
            <w:tcW w:type="dxa" w:w="1440"/>
            <w:shd w:val="clear" w:fill="F4F7FB"/>
          </w:tcPr>
          <w:p>
            <w:r/>
            <w:r>
              <w:rPr>
                <w:rFonts w:ascii="Arial" w:hAnsi="Arial"/>
                <w:b w:val="0"/>
                <w:sz w:val="16"/>
              </w:rPr>
              <w:t>≥95%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Enforce process</w:t>
            </w:r>
          </w:p>
        </w:tc>
      </w:tr>
      <w:tr>
        <w:tc>
          <w:tcPr>
            <w:tcW w:type="dxa" w:w="3168"/>
          </w:tcPr>
          <w:p>
            <w:r/>
            <w:r>
              <w:rPr>
                <w:rFonts w:ascii="Arial" w:hAnsi="Arial"/>
                <w:b w:val="0"/>
                <w:sz w:val="16"/>
              </w:rPr>
              <w:t>Backup success</w:t>
            </w:r>
          </w:p>
        </w:tc>
        <w:tc>
          <w:tcPr>
            <w:tcW w:type="dxa" w:w="1440"/>
          </w:tcPr>
          <w:p>
            <w:r/>
            <w:r>
              <w:rPr>
                <w:rFonts w:ascii="Arial" w:hAnsi="Arial"/>
                <w:b w:val="0"/>
                <w:sz w:val="16"/>
              </w:rPr>
              <w:t>97%</w:t>
            </w:r>
          </w:p>
        </w:tc>
        <w:tc>
          <w:tcPr>
            <w:tcW w:type="dxa" w:w="1440"/>
          </w:tcPr>
          <w:p>
            <w:r/>
            <w:r>
              <w:rPr>
                <w:rFonts w:ascii="Arial" w:hAnsi="Arial"/>
                <w:b w:val="0"/>
                <w:sz w:val="16"/>
              </w:rPr>
              <w:t>≥99%</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Investigate failures</w:t>
            </w:r>
          </w:p>
        </w:tc>
      </w:tr>
      <w:tr>
        <w:tc>
          <w:tcPr>
            <w:tcW w:type="dxa" w:w="3168"/>
            <w:shd w:val="clear" w:fill="F4F7FB"/>
          </w:tcPr>
          <w:p>
            <w:r/>
            <w:r>
              <w:rPr>
                <w:rFonts w:ascii="Arial" w:hAnsi="Arial"/>
                <w:b w:val="0"/>
                <w:sz w:val="16"/>
              </w:rPr>
              <w:t>Privileged logging</w:t>
            </w:r>
          </w:p>
        </w:tc>
        <w:tc>
          <w:tcPr>
            <w:tcW w:type="dxa" w:w="1440"/>
            <w:shd w:val="clear" w:fill="F4F7FB"/>
          </w:tcPr>
          <w:p>
            <w:r/>
            <w:r>
              <w:rPr>
                <w:rFonts w:ascii="Arial" w:hAnsi="Arial"/>
                <w:b w:val="0"/>
                <w:sz w:val="16"/>
              </w:rPr>
              <w:t>Partial</w:t>
            </w:r>
          </w:p>
        </w:tc>
        <w:tc>
          <w:tcPr>
            <w:tcW w:type="dxa" w:w="1440"/>
            <w:shd w:val="clear" w:fill="F4F7FB"/>
          </w:tcPr>
          <w:p>
            <w:r/>
            <w:r>
              <w:rPr>
                <w:rFonts w:ascii="Arial" w:hAnsi="Arial"/>
                <w:b w:val="0"/>
                <w:sz w:val="16"/>
              </w:rPr>
              <w:t>Full</w:t>
            </w:r>
          </w:p>
        </w:tc>
        <w:tc>
          <w:tcPr>
            <w:tcW w:type="dxa" w:w="1152"/>
            <w:shd w:val="clear" w:fill="F4F7FB"/>
            <w:shd w:val="clear" w:fill="B23A48"/>
          </w:tcPr>
          <w:p>
            <w:pPr>
              <w:jc w:val="center"/>
            </w:pPr>
            <w:r/>
            <w:r>
              <w:rPr>
                <w:rFonts w:ascii="Arial" w:hAnsi="Arial"/>
                <w:b/>
                <w:color w:val="FFFFFF"/>
                <w:sz w:val="16"/>
              </w:rPr>
              <w:t>Red</w:t>
            </w:r>
          </w:p>
        </w:tc>
        <w:tc>
          <w:tcPr>
            <w:tcW w:type="dxa" w:w="3744"/>
            <w:shd w:val="clear" w:fill="F4F7FB"/>
          </w:tcPr>
          <w:p>
            <w:r/>
            <w:r>
              <w:rPr>
                <w:rFonts w:ascii="Arial" w:hAnsi="Arial"/>
                <w:b w:val="0"/>
                <w:sz w:val="16"/>
              </w:rPr>
              <w:t>Enable everywhere</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IT general controls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access reviews completing</w:t>
            </w:r>
          </w:p>
        </w:tc>
      </w:tr>
      <w:tr>
        <w:tc>
          <w:tcPr>
            <w:tcW w:type="dxa" w:w="2736"/>
            <w:shd w:val="clear" w:fill="F4F7FB"/>
          </w:tcPr>
          <w:p>
            <w:r/>
            <w:r>
              <w:rPr>
                <w:rFonts w:ascii="Arial" w:hAnsi="Arial"/>
                <w:b w:val="0"/>
                <w:sz w:val="16"/>
              </w:rPr>
              <w:t>Change management</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Compliance improving</w:t>
            </w:r>
          </w:p>
        </w:tc>
      </w:tr>
      <w:tr>
        <w:tc>
          <w:tcPr>
            <w:tcW w:type="dxa" w:w="2736"/>
          </w:tcPr>
          <w:p>
            <w:r/>
            <w:r>
              <w:rPr>
                <w:rFonts w:ascii="Arial" w:hAnsi="Arial"/>
                <w:b w:val="0"/>
                <w:sz w:val="16"/>
              </w:rPr>
              <w:t>Cyber</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Monitoring maturing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privileged-logging rollout</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