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Risk Committee Toolkit™</w:t>
      </w:r>
    </w:p>
    <w:p>
      <w:pPr>
        <w:jc w:val="center"/>
      </w:pPr>
      <w:r>
        <w:rPr>
          <w:color w:val="C97B2C"/>
          <w:sz w:val="26"/>
        </w:rPr>
        <w:t>Operate effective board risk oversight</w:t>
      </w:r>
    </w:p>
    <w:p/>
    <w:p/>
    <w:p>
      <w:pPr>
        <w:jc w:val="center"/>
      </w:pPr>
      <w:r>
        <w:rPr>
          <w:color w:val="555555"/>
          <w:sz w:val="20"/>
        </w:rPr>
        <w:t>Risk Committee Chairs / Members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helps the board (or risk committee) oversee risk effectively — risk appetite, risk reporting, principal-risk oversight, controls assurance and committee effectiveness.</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Oversee risk appetite</w:t>
      </w:r>
    </w:p>
    <w:p>
      <w:pPr>
        <w:pStyle w:val="ListBullet"/>
      </w:pPr>
      <w:r>
        <w:rPr>
          <w:sz w:val="19"/>
        </w:rPr>
        <w:t>Oversee risk reporting</w:t>
      </w:r>
    </w:p>
    <w:p>
      <w:pPr>
        <w:pStyle w:val="ListBullet"/>
      </w:pPr>
      <w:r>
        <w:rPr>
          <w:sz w:val="19"/>
        </w:rPr>
        <w:t>Oversee principal risks</w:t>
      </w:r>
    </w:p>
    <w:p>
      <w:pPr>
        <w:pStyle w:val="ListBullet"/>
      </w:pPr>
      <w:r>
        <w:rPr>
          <w:sz w:val="19"/>
        </w:rPr>
        <w:t>Obtain controls assurance</w:t>
      </w:r>
    </w:p>
    <w:p>
      <w:pPr>
        <w:pStyle w:val="ListBullet"/>
      </w:pPr>
      <w:r>
        <w:rPr>
          <w:sz w:val="19"/>
        </w:rPr>
        <w:t>Evaluate and improve committee effectiveness</w:t>
      </w:r>
    </w:p>
    <w:p>
      <w:pPr>
        <w:pStyle w:val="Heading1"/>
      </w:pPr>
      <w:r>
        <w:t>3. Governance</w:t>
      </w:r>
    </w:p>
    <w:p>
      <w:r>
        <w:rPr>
          <w:b w:val="0"/>
          <w:i w:val="0"/>
          <w:sz w:val="20"/>
        </w:rPr>
        <w:t>Board risk oversight operates under board delegation, led by the committee chair and informed by the risk function:</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operates effective board risk oversight — risk appetite, risk reporting, principal-risk oversight, controls assurance and committee effectiveness — aligned to ISO 31000 and NCCG 2018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Risk committee chair</w:t>
            </w:r>
          </w:p>
        </w:tc>
        <w:tc>
          <w:tcPr>
            <w:tcW w:type="dxa" w:w="8064"/>
          </w:tcPr>
          <w:p>
            <w:r/>
            <w:r>
              <w:rPr>
                <w:rFonts w:ascii="Arial" w:hAnsi="Arial"/>
                <w:b w:val="0"/>
                <w:sz w:val="17"/>
              </w:rPr>
              <w:t>Leads risk oversight</w:t>
            </w:r>
          </w:p>
        </w:tc>
      </w:tr>
      <w:tr>
        <w:tc>
          <w:tcPr>
            <w:tcW w:type="dxa" w:w="3456"/>
            <w:shd w:val="clear" w:fill="F4F7FB"/>
          </w:tcPr>
          <w:p>
            <w:r/>
            <w:r>
              <w:rPr>
                <w:rFonts w:ascii="Arial" w:hAnsi="Arial"/>
                <w:b w:val="0"/>
                <w:sz w:val="17"/>
              </w:rPr>
              <w:t>Risk committee members</w:t>
            </w:r>
          </w:p>
        </w:tc>
        <w:tc>
          <w:tcPr>
            <w:tcW w:type="dxa" w:w="8064"/>
            <w:shd w:val="clear" w:fill="F4F7FB"/>
          </w:tcPr>
          <w:p>
            <w:r/>
            <w:r>
              <w:rPr>
                <w:rFonts w:ascii="Arial" w:hAnsi="Arial"/>
                <w:b w:val="0"/>
                <w:sz w:val="17"/>
              </w:rPr>
              <w:t>Oversee principal risks</w:t>
            </w:r>
          </w:p>
        </w:tc>
      </w:tr>
      <w:tr>
        <w:tc>
          <w:tcPr>
            <w:tcW w:type="dxa" w:w="3456"/>
          </w:tcPr>
          <w:p>
            <w:r/>
            <w:r>
              <w:rPr>
                <w:rFonts w:ascii="Arial" w:hAnsi="Arial"/>
                <w:b w:val="0"/>
                <w:sz w:val="17"/>
              </w:rPr>
              <w:t>CRO / risk function</w:t>
            </w:r>
          </w:p>
        </w:tc>
        <w:tc>
          <w:tcPr>
            <w:tcW w:type="dxa" w:w="8064"/>
          </w:tcPr>
          <w:p>
            <w:r/>
            <w:r>
              <w:rPr>
                <w:rFonts w:ascii="Arial" w:hAnsi="Arial"/>
                <w:b w:val="0"/>
                <w:sz w:val="17"/>
              </w:rPr>
              <w:t>Reports to the committee</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Provides assurance</w:t>
            </w:r>
          </w:p>
        </w:tc>
      </w:tr>
      <w:tr>
        <w:tc>
          <w:tcPr>
            <w:tcW w:type="dxa" w:w="3456"/>
          </w:tcPr>
          <w:p>
            <w:r/>
            <w:r>
              <w:rPr>
                <w:rFonts w:ascii="Arial" w:hAnsi="Arial"/>
                <w:b w:val="0"/>
                <w:sz w:val="17"/>
              </w:rPr>
              <w:t>Board</w:t>
            </w:r>
          </w:p>
        </w:tc>
        <w:tc>
          <w:tcPr>
            <w:tcW w:type="dxa" w:w="8064"/>
          </w:tcPr>
          <w:p>
            <w:r/>
            <w:r>
              <w:rPr>
                <w:rFonts w:ascii="Arial" w:hAnsi="Arial"/>
                <w:b w:val="0"/>
                <w:sz w:val="17"/>
              </w:rPr>
              <w:t>Sets risk appetite</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RC-01</w:t>
            </w:r>
          </w:p>
        </w:tc>
        <w:tc>
          <w:tcPr>
            <w:tcW w:type="dxa" w:w="2880"/>
          </w:tcPr>
          <w:p>
            <w:r/>
            <w:r>
              <w:rPr>
                <w:rFonts w:ascii="Arial" w:hAnsi="Arial"/>
                <w:b w:val="0"/>
                <w:sz w:val="16"/>
              </w:rPr>
              <w:t>Risk appetite</w:t>
            </w:r>
          </w:p>
        </w:tc>
        <w:tc>
          <w:tcPr>
            <w:tcW w:type="dxa" w:w="3456"/>
          </w:tcPr>
          <w:p>
            <w:r/>
            <w:r>
              <w:rPr>
                <w:rFonts w:ascii="Arial" w:hAnsi="Arial"/>
                <w:b w:val="0"/>
                <w:sz w:val="16"/>
              </w:rPr>
              <w:t>Appetite reviewed and approved</w:t>
            </w:r>
          </w:p>
        </w:tc>
        <w:tc>
          <w:tcPr>
            <w:tcW w:type="dxa" w:w="1872"/>
          </w:tcPr>
          <w:p>
            <w:r/>
            <w:r>
              <w:rPr>
                <w:rFonts w:ascii="Arial" w:hAnsi="Arial"/>
                <w:b w:val="0"/>
                <w:sz w:val="16"/>
              </w:rPr>
              <w:t>Committee chair</w:t>
            </w:r>
          </w:p>
        </w:tc>
        <w:tc>
          <w:tcPr>
            <w:tcW w:type="dxa" w:w="1296"/>
          </w:tcPr>
          <w:p>
            <w:r/>
            <w:r>
              <w:rPr>
                <w:rFonts w:ascii="Arial" w:hAnsi="Arial"/>
                <w:b w:val="0"/>
                <w:sz w:val="16"/>
              </w:rPr>
              <w:t>Annually</w:t>
            </w:r>
          </w:p>
        </w:tc>
        <w:tc>
          <w:tcPr>
            <w:tcW w:type="dxa" w:w="1296"/>
          </w:tcPr>
          <w:p>
            <w:r/>
            <w:r>
              <w:rPr>
                <w:rFonts w:ascii="Arial" w:hAnsi="Arial"/>
                <w:b w:val="0"/>
                <w:sz w:val="16"/>
              </w:rPr>
              <w:t>Appetite statement</w:t>
            </w:r>
          </w:p>
        </w:tc>
      </w:tr>
      <w:tr>
        <w:tc>
          <w:tcPr>
            <w:tcW w:type="dxa" w:w="864"/>
            <w:shd w:val="clear" w:fill="F4F7FB"/>
          </w:tcPr>
          <w:p>
            <w:r/>
            <w:r>
              <w:rPr>
                <w:rFonts w:ascii="Arial" w:hAnsi="Arial"/>
                <w:b w:val="0"/>
                <w:sz w:val="16"/>
              </w:rPr>
              <w:t>RC-02</w:t>
            </w:r>
          </w:p>
        </w:tc>
        <w:tc>
          <w:tcPr>
            <w:tcW w:type="dxa" w:w="2880"/>
            <w:shd w:val="clear" w:fill="F4F7FB"/>
          </w:tcPr>
          <w:p>
            <w:r/>
            <w:r>
              <w:rPr>
                <w:rFonts w:ascii="Arial" w:hAnsi="Arial"/>
                <w:b w:val="0"/>
                <w:sz w:val="16"/>
              </w:rPr>
              <w:t>Risk reporting</w:t>
            </w:r>
          </w:p>
        </w:tc>
        <w:tc>
          <w:tcPr>
            <w:tcW w:type="dxa" w:w="3456"/>
            <w:shd w:val="clear" w:fill="F4F7FB"/>
          </w:tcPr>
          <w:p>
            <w:r/>
            <w:r>
              <w:rPr>
                <w:rFonts w:ascii="Arial" w:hAnsi="Arial"/>
                <w:b w:val="0"/>
                <w:sz w:val="16"/>
              </w:rPr>
              <w:t>Risk report reviewed</w:t>
            </w:r>
          </w:p>
        </w:tc>
        <w:tc>
          <w:tcPr>
            <w:tcW w:type="dxa" w:w="1872"/>
            <w:shd w:val="clear" w:fill="F4F7FB"/>
          </w:tcPr>
          <w:p>
            <w:r/>
            <w:r>
              <w:rPr>
                <w:rFonts w:ascii="Arial" w:hAnsi="Arial"/>
                <w:b w:val="0"/>
                <w:sz w:val="16"/>
              </w:rPr>
              <w:t>Committee</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Risk report</w:t>
            </w:r>
          </w:p>
        </w:tc>
      </w:tr>
      <w:tr>
        <w:tc>
          <w:tcPr>
            <w:tcW w:type="dxa" w:w="864"/>
          </w:tcPr>
          <w:p>
            <w:r/>
            <w:r>
              <w:rPr>
                <w:rFonts w:ascii="Arial" w:hAnsi="Arial"/>
                <w:b w:val="0"/>
                <w:sz w:val="16"/>
              </w:rPr>
              <w:t>RC-03</w:t>
            </w:r>
          </w:p>
        </w:tc>
        <w:tc>
          <w:tcPr>
            <w:tcW w:type="dxa" w:w="2880"/>
          </w:tcPr>
          <w:p>
            <w:r/>
            <w:r>
              <w:rPr>
                <w:rFonts w:ascii="Arial" w:hAnsi="Arial"/>
                <w:b w:val="0"/>
                <w:sz w:val="16"/>
              </w:rPr>
              <w:t>Principal risks</w:t>
            </w:r>
          </w:p>
        </w:tc>
        <w:tc>
          <w:tcPr>
            <w:tcW w:type="dxa" w:w="3456"/>
          </w:tcPr>
          <w:p>
            <w:r/>
            <w:r>
              <w:rPr>
                <w:rFonts w:ascii="Arial" w:hAnsi="Arial"/>
                <w:b w:val="0"/>
                <w:sz w:val="16"/>
              </w:rPr>
              <w:t>Oversight of principal risks</w:t>
            </w:r>
          </w:p>
        </w:tc>
        <w:tc>
          <w:tcPr>
            <w:tcW w:type="dxa" w:w="1872"/>
          </w:tcPr>
          <w:p>
            <w:r/>
            <w:r>
              <w:rPr>
                <w:rFonts w:ascii="Arial" w:hAnsi="Arial"/>
                <w:b w:val="0"/>
                <w:sz w:val="16"/>
              </w:rPr>
              <w:t>Committee</w:t>
            </w:r>
          </w:p>
        </w:tc>
        <w:tc>
          <w:tcPr>
            <w:tcW w:type="dxa" w:w="1296"/>
          </w:tcPr>
          <w:p>
            <w:r/>
            <w:r>
              <w:rPr>
                <w:rFonts w:ascii="Arial" w:hAnsi="Arial"/>
                <w:b w:val="0"/>
                <w:sz w:val="16"/>
              </w:rPr>
              <w:t>Quarterly</w:t>
            </w:r>
          </w:p>
        </w:tc>
        <w:tc>
          <w:tcPr>
            <w:tcW w:type="dxa" w:w="1296"/>
          </w:tcPr>
          <w:p>
            <w:r/>
            <w:r>
              <w:rPr>
                <w:rFonts w:ascii="Arial" w:hAnsi="Arial"/>
                <w:b w:val="0"/>
                <w:sz w:val="16"/>
              </w:rPr>
              <w:t>Risk register</w:t>
            </w:r>
          </w:p>
        </w:tc>
      </w:tr>
      <w:tr>
        <w:tc>
          <w:tcPr>
            <w:tcW w:type="dxa" w:w="864"/>
            <w:shd w:val="clear" w:fill="F4F7FB"/>
          </w:tcPr>
          <w:p>
            <w:r/>
            <w:r>
              <w:rPr>
                <w:rFonts w:ascii="Arial" w:hAnsi="Arial"/>
                <w:b w:val="0"/>
                <w:sz w:val="16"/>
              </w:rPr>
              <w:t>RC-04</w:t>
            </w:r>
          </w:p>
        </w:tc>
        <w:tc>
          <w:tcPr>
            <w:tcW w:type="dxa" w:w="2880"/>
            <w:shd w:val="clear" w:fill="F4F7FB"/>
          </w:tcPr>
          <w:p>
            <w:r/>
            <w:r>
              <w:rPr>
                <w:rFonts w:ascii="Arial" w:hAnsi="Arial"/>
                <w:b w:val="0"/>
                <w:sz w:val="16"/>
              </w:rPr>
              <w:t>Assurance</w:t>
            </w:r>
          </w:p>
        </w:tc>
        <w:tc>
          <w:tcPr>
            <w:tcW w:type="dxa" w:w="3456"/>
            <w:shd w:val="clear" w:fill="F4F7FB"/>
          </w:tcPr>
          <w:p>
            <w:r/>
            <w:r>
              <w:rPr>
                <w:rFonts w:ascii="Arial" w:hAnsi="Arial"/>
                <w:b w:val="0"/>
                <w:sz w:val="16"/>
              </w:rPr>
              <w:t>Controls assurance reviewed</w:t>
            </w:r>
          </w:p>
        </w:tc>
        <w:tc>
          <w:tcPr>
            <w:tcW w:type="dxa" w:w="1872"/>
            <w:shd w:val="clear" w:fill="F4F7FB"/>
          </w:tcPr>
          <w:p>
            <w:r/>
            <w:r>
              <w:rPr>
                <w:rFonts w:ascii="Arial" w:hAnsi="Arial"/>
                <w:b w:val="0"/>
                <w:sz w:val="16"/>
              </w:rPr>
              <w:t>Committee</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Assurance map</w:t>
            </w:r>
          </w:p>
        </w:tc>
      </w:tr>
    </w:tbl>
    <w:p>
      <w:pPr>
        <w:pStyle w:val="Heading1"/>
      </w:pPr>
      <w:r>
        <w:t>7. Sample Practices / Actions</w:t>
      </w:r>
    </w:p>
    <w:p>
      <w:pPr>
        <w:pStyle w:val="ListBullet"/>
      </w:pPr>
      <w:r>
        <w:rPr>
          <w:sz w:val="19"/>
        </w:rPr>
        <w:t>A risk appetite statement overseen</w:t>
      </w:r>
    </w:p>
    <w:p>
      <w:pPr>
        <w:pStyle w:val="ListBullet"/>
      </w:pPr>
      <w:r>
        <w:rPr>
          <w:sz w:val="19"/>
        </w:rPr>
        <w:t>Effective risk reporting to the board</w:t>
      </w:r>
    </w:p>
    <w:p>
      <w:pPr>
        <w:pStyle w:val="ListBullet"/>
      </w:pPr>
      <w:r>
        <w:rPr>
          <w:sz w:val="19"/>
        </w:rPr>
        <w:t>Principal risks overseen against appetite</w:t>
      </w:r>
    </w:p>
    <w:p>
      <w:pPr>
        <w:pStyle w:val="ListBullet"/>
      </w:pPr>
      <w:r>
        <w:rPr>
          <w:sz w:val="19"/>
        </w:rPr>
        <w:t>Controls assurance obtained</w:t>
      </w:r>
    </w:p>
    <w:p>
      <w:pPr>
        <w:pStyle w:val="ListBullet"/>
      </w:pPr>
      <w:r>
        <w:rPr>
          <w:sz w:val="19"/>
        </w:rPr>
        <w:t>A committee effectiveness assessment completed</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Risk oversight</w:t>
            </w:r>
          </w:p>
        </w:tc>
        <w:tc>
          <w:tcPr>
            <w:tcW w:type="dxa" w:w="4320"/>
          </w:tcPr>
          <w:p>
            <w:r/>
            <w:r>
              <w:rPr>
                <w:rFonts w:ascii="Arial" w:hAnsi="Arial"/>
                <w:b w:val="0"/>
                <w:sz w:val="16"/>
              </w:rPr>
              <w:t>Run the board risk oversight workbook</w:t>
            </w:r>
          </w:p>
        </w:tc>
        <w:tc>
          <w:tcPr>
            <w:tcW w:type="dxa" w:w="2160"/>
          </w:tcPr>
          <w:p>
            <w:r/>
            <w:r>
              <w:rPr>
                <w:rFonts w:ascii="Arial" w:hAnsi="Arial"/>
                <w:b w:val="0"/>
                <w:sz w:val="16"/>
              </w:rPr>
              <w:t>Principal risks</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Assurance</w:t>
            </w:r>
          </w:p>
        </w:tc>
        <w:tc>
          <w:tcPr>
            <w:tcW w:type="dxa" w:w="4320"/>
            <w:shd w:val="clear" w:fill="F4F7FB"/>
          </w:tcPr>
          <w:p>
            <w:r/>
            <w:r>
              <w:rPr>
                <w:rFonts w:ascii="Arial" w:hAnsi="Arial"/>
                <w:b w:val="0"/>
                <w:sz w:val="16"/>
              </w:rPr>
              <w:t>Review the assurance map and coverage</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Effectiveness</w:t>
            </w:r>
          </w:p>
        </w:tc>
        <w:tc>
          <w:tcPr>
            <w:tcW w:type="dxa" w:w="4320"/>
          </w:tcPr>
          <w:p>
            <w:r/>
            <w:r>
              <w:rPr>
                <w:rFonts w:ascii="Arial" w:hAnsi="Arial"/>
                <w:b w:val="0"/>
                <w:sz w:val="16"/>
              </w:rPr>
              <w:t>Run the committee effectiveness assessment</w:t>
            </w:r>
          </w:p>
        </w:tc>
        <w:tc>
          <w:tcPr>
            <w:tcW w:type="dxa" w:w="2160"/>
          </w:tcPr>
          <w:p>
            <w:r/>
            <w:r>
              <w:rPr>
                <w:rFonts w:ascii="Arial" w:hAnsi="Arial"/>
                <w:b w:val="0"/>
                <w:sz w:val="16"/>
              </w:rPr>
              <w:t>Committee</w:t>
            </w:r>
          </w:p>
        </w:tc>
        <w:tc>
          <w:tcPr>
            <w:tcW w:type="dxa" w:w="1440"/>
          </w:tcPr>
          <w:p>
            <w:r/>
            <w:r>
              <w:rPr>
                <w:rFonts w:ascii="Arial" w:hAnsi="Arial"/>
                <w:b w:val="0"/>
                <w:sz w:val="16"/>
              </w:rPr>
              <w:t>Annually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Set appetite and reporting</w:t>
            </w:r>
          </w:p>
        </w:tc>
        <w:tc>
          <w:tcPr>
            <w:tcW w:type="dxa" w:w="4320"/>
          </w:tcPr>
          <w:p>
            <w:r/>
            <w:r>
              <w:rPr>
                <w:rFonts w:ascii="Arial" w:hAnsi="Arial"/>
                <w:b w:val="0"/>
                <w:sz w:val="17"/>
              </w:rPr>
              <w:t>Oversight basis</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Operate risk oversight</w:t>
            </w:r>
          </w:p>
        </w:tc>
        <w:tc>
          <w:tcPr>
            <w:tcW w:type="dxa" w:w="4320"/>
            <w:shd w:val="clear" w:fill="F4F7FB"/>
          </w:tcPr>
          <w:p>
            <w:r/>
            <w:r>
              <w:rPr>
                <w:rFonts w:ascii="Arial" w:hAnsi="Arial"/>
                <w:b w:val="0"/>
                <w:sz w:val="17"/>
              </w:rPr>
              <w:t>Active oversight</w:t>
            </w:r>
          </w:p>
        </w:tc>
      </w:tr>
      <w:tr>
        <w:tc>
          <w:tcPr>
            <w:tcW w:type="dxa" w:w="1872"/>
          </w:tcPr>
          <w:p>
            <w:r/>
            <w:r>
              <w:rPr>
                <w:rFonts w:ascii="Arial" w:hAnsi="Arial"/>
                <w:b w:val="0"/>
                <w:sz w:val="17"/>
              </w:rPr>
              <w:t>Phase 3</w:t>
            </w:r>
          </w:p>
        </w:tc>
        <w:tc>
          <w:tcPr>
            <w:tcW w:type="dxa" w:w="5328"/>
          </w:tcPr>
          <w:p>
            <w:r/>
            <w:r>
              <w:rPr>
                <w:rFonts w:ascii="Arial" w:hAnsi="Arial"/>
                <w:b w:val="0"/>
                <w:sz w:val="17"/>
              </w:rPr>
              <w:t>Strengthen assurance</w:t>
            </w:r>
          </w:p>
        </w:tc>
        <w:tc>
          <w:tcPr>
            <w:tcW w:type="dxa" w:w="4320"/>
          </w:tcPr>
          <w:p>
            <w:r/>
            <w:r>
              <w:rPr>
                <w:rFonts w:ascii="Arial" w:hAnsi="Arial"/>
                <w:b w:val="0"/>
                <w:sz w:val="17"/>
              </w:rPr>
              <w:t>Assured oversight</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Evaluate and improve</w:t>
            </w:r>
          </w:p>
        </w:tc>
        <w:tc>
          <w:tcPr>
            <w:tcW w:type="dxa" w:w="4320"/>
            <w:shd w:val="clear" w:fill="F4F7FB"/>
          </w:tcPr>
          <w:p>
            <w:r/>
            <w:r>
              <w:rPr>
                <w:rFonts w:ascii="Arial" w:hAnsi="Arial"/>
                <w:b w:val="0"/>
                <w:sz w:val="17"/>
              </w:rPr>
              <w:t>Effective committee</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Risk Committee Charter</w:t>
      </w:r>
    </w:p>
    <w:p>
      <w:pPr>
        <w:pStyle w:val="ListBullet"/>
      </w:pPr>
      <w:r>
        <w:rPr>
          <w:sz w:val="19"/>
        </w:rPr>
        <w:t>Risk Oversight Checklist</w:t>
      </w:r>
    </w:p>
    <w:p>
      <w:pPr>
        <w:pStyle w:val="ListBullet"/>
      </w:pPr>
      <w:r>
        <w:rPr>
          <w:sz w:val="19"/>
        </w:rPr>
        <w:t>Board Risk Appetite Oversight Template</w:t>
      </w:r>
    </w:p>
    <w:p>
      <w:pPr>
        <w:pStyle w:val="ListBullet"/>
      </w:pPr>
      <w:r>
        <w:rPr>
          <w:sz w:val="19"/>
        </w:rPr>
        <w:t>Board Risk Oversight Workbook (XLSX)</w:t>
      </w:r>
    </w:p>
    <w:p>
      <w:pPr>
        <w:pStyle w:val="ListBullet"/>
      </w:pPr>
      <w:r>
        <w:rPr>
          <w:sz w:val="19"/>
        </w:rPr>
        <w:t>Committee Effectiveness Assessment (XLSX)</w:t>
      </w:r>
    </w:p>
    <w:p>
      <w:pPr>
        <w:pStyle w:val="Heading1"/>
      </w:pPr>
      <w:r>
        <w:t>11. Checklists</w:t>
      </w:r>
    </w:p>
    <w:p>
      <w:pPr>
        <w:ind w:left="288"/>
      </w:pPr>
      <w:r>
        <w:rPr>
          <w:sz w:val="19"/>
        </w:rPr>
        <w:t>☐  Risk appetite overseen</w:t>
      </w:r>
    </w:p>
    <w:p>
      <w:pPr>
        <w:ind w:left="288"/>
      </w:pPr>
      <w:r>
        <w:rPr>
          <w:sz w:val="19"/>
        </w:rPr>
        <w:t>☐  Risk reporting effective</w:t>
      </w:r>
    </w:p>
    <w:p>
      <w:pPr>
        <w:ind w:left="288"/>
      </w:pPr>
      <w:r>
        <w:rPr>
          <w:sz w:val="19"/>
        </w:rPr>
        <w:t>☐  Principal risks overseen</w:t>
      </w:r>
    </w:p>
    <w:p>
      <w:pPr>
        <w:ind w:left="288"/>
      </w:pPr>
      <w:r>
        <w:rPr>
          <w:sz w:val="19"/>
        </w:rPr>
        <w:t>☐  Controls assurance obtained</w:t>
      </w:r>
    </w:p>
    <w:p>
      <w:pPr>
        <w:ind w:left="288"/>
      </w:pPr>
      <w:r>
        <w:rPr>
          <w:sz w:val="19"/>
        </w:rPr>
        <w:t>☐  Emerging risks considered</w:t>
      </w:r>
    </w:p>
    <w:p>
      <w:pPr>
        <w:ind w:left="288"/>
      </w:pPr>
      <w:r>
        <w:rPr>
          <w:sz w:val="19"/>
        </w:rPr>
        <w:t>☐  Committee competence maintained</w:t>
      </w:r>
    </w:p>
    <w:p>
      <w:pPr>
        <w:ind w:left="288"/>
      </w:pPr>
      <w:r>
        <w:rPr>
          <w:sz w:val="19"/>
        </w:rPr>
        <w:t>☐  Risk-management interface clear</w:t>
      </w:r>
    </w:p>
    <w:p>
      <w:pPr>
        <w:ind w:left="288"/>
      </w:pPr>
      <w:r>
        <w:rPr>
          <w:sz w:val="19"/>
        </w:rPr>
        <w:t>☐  Committee effectiveness assessed</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Risk oversight index</w:t>
            </w:r>
          </w:p>
        </w:tc>
        <w:tc>
          <w:tcPr>
            <w:tcW w:type="dxa" w:w="1440"/>
          </w:tcPr>
          <w:p>
            <w:r/>
            <w:r>
              <w:rPr>
                <w:rFonts w:ascii="Arial" w:hAnsi="Arial"/>
                <w:b w:val="0"/>
                <w:sz w:val="16"/>
              </w:rPr>
              <w:t>[ ]</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 oversight</w:t>
            </w:r>
          </w:p>
        </w:tc>
      </w:tr>
      <w:tr>
        <w:tc>
          <w:tcPr>
            <w:tcW w:type="dxa" w:w="3168"/>
            <w:shd w:val="clear" w:fill="F4F7FB"/>
          </w:tcPr>
          <w:p>
            <w:r/>
            <w:r>
              <w:rPr>
                <w:rFonts w:ascii="Arial" w:hAnsi="Arial"/>
                <w:b w:val="0"/>
                <w:sz w:val="16"/>
              </w:rPr>
              <w:t>Principal risks within appetite</w:t>
            </w:r>
          </w:p>
        </w:tc>
        <w:tc>
          <w:tcPr>
            <w:tcW w:type="dxa" w:w="1440"/>
            <w:shd w:val="clear" w:fill="F4F7FB"/>
          </w:tcPr>
          <w:p>
            <w:r/>
            <w:r>
              <w:rPr>
                <w:rFonts w:ascii="Arial" w:hAnsi="Arial"/>
                <w:b w:val="0"/>
                <w:sz w:val="16"/>
              </w:rPr>
              <w:t>78%</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Bring within appetite</w:t>
            </w:r>
          </w:p>
        </w:tc>
      </w:tr>
      <w:tr>
        <w:tc>
          <w:tcPr>
            <w:tcW w:type="dxa" w:w="3168"/>
          </w:tcPr>
          <w:p>
            <w:r/>
            <w:r>
              <w:rPr>
                <w:rFonts w:ascii="Arial" w:hAnsi="Arial"/>
                <w:b w:val="0"/>
                <w:sz w:val="16"/>
              </w:rPr>
              <w:t>Assurance coverage</w:t>
            </w:r>
          </w:p>
        </w:tc>
        <w:tc>
          <w:tcPr>
            <w:tcW w:type="dxa" w:w="1440"/>
          </w:tcPr>
          <w:p>
            <w:r/>
            <w:r>
              <w:rPr>
                <w:rFonts w:ascii="Arial" w:hAnsi="Arial"/>
                <w:b w:val="0"/>
                <w:sz w:val="16"/>
              </w:rPr>
              <w:t>[ ]</w:t>
            </w:r>
          </w:p>
        </w:tc>
        <w:tc>
          <w:tcPr>
            <w:tcW w:type="dxa" w:w="1440"/>
          </w:tcPr>
          <w:p>
            <w:r/>
            <w:r>
              <w:rPr>
                <w:rFonts w:ascii="Arial" w:hAnsi="Arial"/>
                <w:b w:val="0"/>
                <w:sz w:val="16"/>
              </w:rPr>
              <w:t>Rising</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Extend assurance</w:t>
            </w:r>
          </w:p>
        </w:tc>
      </w:tr>
      <w:tr>
        <w:tc>
          <w:tcPr>
            <w:tcW w:type="dxa" w:w="3168"/>
            <w:shd w:val="clear" w:fill="F4F7FB"/>
          </w:tcPr>
          <w:p>
            <w:r/>
            <w:r>
              <w:rPr>
                <w:rFonts w:ascii="Arial" w:hAnsi="Arial"/>
                <w:b w:val="0"/>
                <w:sz w:val="16"/>
              </w:rPr>
              <w:t>Committee effectiveness</w:t>
            </w:r>
          </w:p>
        </w:tc>
        <w:tc>
          <w:tcPr>
            <w:tcW w:type="dxa" w:w="1440"/>
            <w:shd w:val="clear" w:fill="F4F7FB"/>
          </w:tcPr>
          <w:p>
            <w:r/>
            <w:r>
              <w:rPr>
                <w:rFonts w:ascii="Arial" w:hAnsi="Arial"/>
                <w:b w:val="0"/>
                <w:sz w:val="16"/>
              </w:rPr>
              <w:t>Good</w:t>
            </w:r>
          </w:p>
        </w:tc>
        <w:tc>
          <w:tcPr>
            <w:tcW w:type="dxa" w:w="1440"/>
            <w:shd w:val="clear" w:fill="F4F7FB"/>
          </w:tcPr>
          <w:p>
            <w:r/>
            <w:r>
              <w:rPr>
                <w:rFonts w:ascii="Arial" w:hAnsi="Arial"/>
                <w:b w:val="0"/>
                <w:sz w:val="16"/>
              </w:rPr>
              <w:t>Strong</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Develop</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Risk oversight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Effective; being strengthened</w:t>
            </w:r>
          </w:p>
        </w:tc>
      </w:tr>
      <w:tr>
        <w:tc>
          <w:tcPr>
            <w:tcW w:type="dxa" w:w="2736"/>
            <w:shd w:val="clear" w:fill="F4F7FB"/>
          </w:tcPr>
          <w:p>
            <w:r/>
            <w:r>
              <w:rPr>
                <w:rFonts w:ascii="Arial" w:hAnsi="Arial"/>
                <w:b w:val="0"/>
                <w:sz w:val="16"/>
              </w:rPr>
              <w:t>Risk appetite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Some risks over appetite</w:t>
            </w:r>
          </w:p>
        </w:tc>
      </w:tr>
      <w:tr>
        <w:tc>
          <w:tcPr>
            <w:tcW w:type="dxa" w:w="2736"/>
          </w:tcPr>
          <w:p>
            <w:r/>
            <w:r>
              <w:rPr>
                <w:rFonts w:ascii="Arial" w:hAnsi="Arial"/>
                <w:b w:val="0"/>
                <w:sz w:val="16"/>
              </w:rPr>
              <w:t>Assurance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Coverage extending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appetite and assurance plan</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