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Capital Allocation Toolkit™</w:t>
      </w:r>
    </w:p>
    <w:p>
      <w:pPr>
        <w:jc w:val="center"/>
      </w:pPr>
      <w:r>
        <w:rPr>
          <w:color w:val="C97B2C"/>
          <w:sz w:val="26"/>
        </w:rPr>
        <w:t>Allocate capital to the highest-return uses</w:t>
      </w:r>
    </w:p>
    <w:p/>
    <w:p/>
    <w:p>
      <w:pPr>
        <w:jc w:val="center"/>
      </w:pPr>
      <w:r>
        <w:rPr>
          <w:color w:val="555555"/>
          <w:sz w:val="20"/>
        </w:rPr>
        <w:t>CFO / Board / Investment Committee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Full Guide</w:t>
      </w:r>
    </w:p>
    <w:p>
      <w:r>
        <w:rPr>
          <w:b w:val="0"/>
          <w:i w:val="0"/>
          <w:sz w:val="20"/>
        </w:rPr>
        <w:t>This toolkit helps allocate capital to the highest-return, strategy-aligned uses — with a consistent appraisal standard, prioritisation, hurdle rates and post-investment review.</w:t>
      </w:r>
    </w:p>
    <w:p>
      <w:pPr>
        <w:pStyle w:val="Heading2"/>
      </w:pPr>
      <w:r>
        <w:t>Operating lifecycle</w:t>
      </w:r>
    </w:p>
    <w:p>
      <w:pPr>
        <w:pStyle w:val="ListNumber"/>
      </w:pPr>
      <w:r>
        <w:rPr>
          <w:sz w:val="19"/>
        </w:rPr>
        <w:t>Frame — the capital framework and criteria</w:t>
      </w:r>
    </w:p>
    <w:p>
      <w:pPr>
        <w:pStyle w:val="ListNumber"/>
      </w:pPr>
      <w:r>
        <w:rPr>
          <w:sz w:val="19"/>
        </w:rPr>
        <w:t>Appraise — consistent business cases (NPV/IRR)</w:t>
      </w:r>
    </w:p>
    <w:p>
      <w:pPr>
        <w:pStyle w:val="ListNumber"/>
      </w:pPr>
      <w:r>
        <w:rPr>
          <w:sz w:val="19"/>
        </w:rPr>
        <w:t>Prioritise — rank by return, fit and risk</w:t>
      </w:r>
    </w:p>
    <w:p>
      <w:pPr>
        <w:pStyle w:val="ListNumber"/>
      </w:pPr>
      <w:r>
        <w:rPr>
          <w:sz w:val="19"/>
        </w:rPr>
        <w:t>Decide — fund within the framework</w:t>
      </w:r>
    </w:p>
    <w:p>
      <w:pPr>
        <w:pStyle w:val="ListNumber"/>
      </w:pPr>
      <w:r>
        <w:rPr>
          <w:sz w:val="19"/>
        </w:rPr>
        <w:t>Review — post-investment benefit tracking</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Reactive / manual</w:t>
            </w:r>
          </w:p>
        </w:tc>
        <w:tc>
          <w:tcPr>
            <w:tcW w:type="dxa" w:w="2232"/>
          </w:tcPr>
          <w:p>
            <w:r/>
            <w:r>
              <w:rPr>
                <w:rFonts w:ascii="Arial" w:hAnsi="Arial"/>
                <w:b w:val="0"/>
                <w:sz w:val="16"/>
              </w:rPr>
              <w:t>Core but unstandardised</w:t>
            </w:r>
          </w:p>
        </w:tc>
        <w:tc>
          <w:tcPr>
            <w:tcW w:type="dxa" w:w="2232"/>
          </w:tcPr>
          <w:p>
            <w:r/>
            <w:r>
              <w:rPr>
                <w:rFonts w:ascii="Arial" w:hAnsi="Arial"/>
                <w:b w:val="0"/>
                <w:sz w:val="16"/>
              </w:rPr>
              <w:t>Standardised &amp; controlled</w:t>
            </w:r>
          </w:p>
        </w:tc>
        <w:tc>
          <w:tcPr>
            <w:tcW w:type="dxa" w:w="2232"/>
          </w:tcPr>
          <w:p>
            <w:r/>
            <w:r>
              <w:rPr>
                <w:rFonts w:ascii="Arial" w:hAnsi="Arial"/>
                <w:b w:val="0"/>
                <w:sz w:val="16"/>
              </w:rPr>
              <w:t>Measured &amp; automated</w:t>
            </w:r>
          </w:p>
        </w:tc>
        <w:tc>
          <w:tcPr>
            <w:tcW w:type="dxa" w:w="2232"/>
          </w:tcPr>
          <w:p>
            <w:r/>
            <w:r>
              <w:rPr>
                <w:rFonts w:ascii="Arial" w:hAnsi="Arial"/>
                <w:b w:val="0"/>
                <w:sz w:val="16"/>
              </w:rPr>
              <w:t>Predictive &amp; value-creating</w:t>
            </w:r>
          </w:p>
        </w:tc>
      </w:tr>
    </w:tbl>
    <w:p>
      <w:pPr>
        <w:pStyle w:val="Heading2"/>
      </w:pPr>
      <w:r>
        <w:t>Key components</w:t>
      </w:r>
    </w:p>
    <w:p>
      <w:pPr>
        <w:pStyle w:val="ListBullet"/>
      </w:pPr>
      <w:r>
        <w:rPr>
          <w:sz w:val="19"/>
        </w:rPr>
        <w:t>Capital framework</w:t>
      </w:r>
    </w:p>
    <w:p>
      <w:pPr>
        <w:pStyle w:val="ListBullet"/>
      </w:pPr>
      <w:r>
        <w:rPr>
          <w:sz w:val="19"/>
        </w:rPr>
        <w:t>Investment appraisal</w:t>
      </w:r>
    </w:p>
    <w:p>
      <w:pPr>
        <w:pStyle w:val="ListBullet"/>
      </w:pPr>
      <w:r>
        <w:rPr>
          <w:sz w:val="19"/>
        </w:rPr>
        <w:t>Prioritisation</w:t>
      </w:r>
    </w:p>
    <w:p>
      <w:pPr>
        <w:pStyle w:val="ListBullet"/>
      </w:pPr>
      <w:r>
        <w:rPr>
          <w:sz w:val="19"/>
        </w:rPr>
        <w:t>Hurdle rates &amp; criteria</w:t>
      </w:r>
    </w:p>
    <w:p>
      <w:pPr>
        <w:pStyle w:val="ListBullet"/>
      </w:pPr>
      <w:r>
        <w:rPr>
          <w:sz w:val="19"/>
        </w:rPr>
        <w:t>Funding decisions</w:t>
      </w:r>
    </w:p>
    <w:p>
      <w:pPr>
        <w:pStyle w:val="ListBullet"/>
      </w:pPr>
      <w:r>
        <w:rPr>
          <w:sz w:val="19"/>
        </w:rPr>
        <w:t>Post-investment review</w:t>
      </w:r>
    </w:p>
    <w:p>
      <w:pPr>
        <w:pStyle w:val="Heading1"/>
      </w:pPr>
      <w:r>
        <w:t>2. Templates &amp; Contents</w:t>
      </w:r>
    </w:p>
    <w:p>
      <w:pPr>
        <w:pStyle w:val="Heading3"/>
      </w:pPr>
      <w:r>
        <w:t>Capital allocation framework guide</w:t>
      </w:r>
    </w:p>
    <w:p>
      <w:r>
        <w:rPr>
          <w:b w:val="0"/>
          <w:i w:val="0"/>
          <w:sz w:val="19"/>
        </w:rPr>
        <w:t>Principles, criteria and hurdle rates for allocating capital.</w:t>
      </w:r>
    </w:p>
    <w:p>
      <w:pPr>
        <w:pStyle w:val="Heading3"/>
      </w:pPr>
      <w:r>
        <w:t>Business case template</w:t>
      </w:r>
    </w:p>
    <w:p>
      <w:r>
        <w:rPr>
          <w:b w:val="0"/>
          <w:i w:val="0"/>
          <w:sz w:val="19"/>
        </w:rPr>
        <w:t>Standard business case for investment requests.</w:t>
      </w:r>
    </w:p>
    <w:p>
      <w:pPr>
        <w:pStyle w:val="Heading3"/>
      </w:pPr>
      <w:r>
        <w:t>Investment appraisal model (NPV/IRR)</w:t>
      </w:r>
    </w:p>
    <w:p>
      <w:r>
        <w:rPr>
          <w:b w:val="0"/>
          <w:i w:val="0"/>
          <w:sz w:val="19"/>
        </w:rPr>
        <w:t>Appraise investments consistently.</w:t>
      </w:r>
    </w:p>
    <w:p>
      <w:pPr>
        <w:pStyle w:val="Heading3"/>
      </w:pPr>
      <w:r>
        <w:t>Capital allocation prioritisation matrix</w:t>
      </w:r>
    </w:p>
    <w:p>
      <w:r>
        <w:rPr>
          <w:b w:val="0"/>
          <w:i w:val="0"/>
          <w:sz w:val="19"/>
        </w:rPr>
        <w:t>Rank and decide on competing investments (supplied as a working XLSX).</w:t>
      </w:r>
    </w:p>
    <w:p>
      <w:pPr>
        <w:pStyle w:val="Heading3"/>
      </w:pPr>
      <w:r>
        <w:t>Post-investment review template</w:t>
      </w:r>
    </w:p>
    <w:p>
      <w:r>
        <w:rPr>
          <w:b w:val="0"/>
          <w:i w:val="0"/>
          <w:sz w:val="19"/>
        </w:rPr>
        <w:t>Track realised benefits against the business case.</w:t>
      </w:r>
    </w:p>
    <w:p>
      <w:pPr>
        <w:pStyle w:val="Heading1"/>
      </w:pPr>
      <w:r>
        <w:t>3. Checklists</w:t>
      </w:r>
    </w:p>
    <w:p>
      <w:pPr>
        <w:ind w:left="288"/>
      </w:pPr>
      <w:r>
        <w:rPr>
          <w:sz w:val="19"/>
        </w:rPr>
        <w:t>☐  Capital framework and criteria defined</w:t>
      </w:r>
    </w:p>
    <w:p>
      <w:pPr>
        <w:ind w:left="288"/>
      </w:pPr>
      <w:r>
        <w:rPr>
          <w:sz w:val="19"/>
        </w:rPr>
        <w:t>☐  Hurdle rates applied</w:t>
      </w:r>
    </w:p>
    <w:p>
      <w:pPr>
        <w:ind w:left="288"/>
      </w:pPr>
      <w:r>
        <w:rPr>
          <w:sz w:val="19"/>
        </w:rPr>
        <w:t>☐  Business cases consistent</w:t>
      </w:r>
    </w:p>
    <w:p>
      <w:pPr>
        <w:ind w:left="288"/>
      </w:pPr>
      <w:r>
        <w:rPr>
          <w:sz w:val="19"/>
        </w:rPr>
        <w:t>☐  Investments prioritised by return, fit and risk</w:t>
      </w:r>
    </w:p>
    <w:p>
      <w:pPr>
        <w:ind w:left="288"/>
      </w:pPr>
      <w:r>
        <w:rPr>
          <w:sz w:val="19"/>
        </w:rPr>
        <w:t>☐  Funding decisions within the framework</w:t>
      </w:r>
    </w:p>
    <w:p>
      <w:pPr>
        <w:ind w:left="288"/>
      </w:pPr>
      <w:r>
        <w:rPr>
          <w:sz w:val="19"/>
        </w:rPr>
        <w:t>☐  Benefits tracked post-investment</w:t>
      </w:r>
    </w:p>
    <w:p>
      <w:pPr>
        <w:ind w:left="288"/>
      </w:pPr>
      <w:r>
        <w:rPr>
          <w:sz w:val="19"/>
        </w:rPr>
        <w:t>☐  Capital allocation reviewed against returns</w:t>
      </w:r>
    </w:p>
    <w:p>
      <w:pPr>
        <w:pStyle w:val="Heading2"/>
      </w:pPr>
      <w:r>
        <w:t>Governance Structure</w:t>
      </w:r>
    </w:p>
    <w:p>
      <w:r>
        <w:rPr>
          <w:b w:val="0"/>
          <w:i w:val="0"/>
          <w:sz w:val="20"/>
        </w:rPr>
        <w:t>Capital allocation is governed by the board and CFO, with appraisal by finance and post-investment review:</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financial reporting, controls, risk and capital</w:t>
            </w:r>
          </w:p>
        </w:tc>
      </w:tr>
      <w:tr>
        <w:tc>
          <w:tcPr>
            <w:tcW w:type="dxa" w:w="3312"/>
            <w:shd w:val="clear" w:fill="F4F7FB"/>
          </w:tcPr>
          <w:p>
            <w:r/>
            <w:r>
              <w:rPr>
                <w:rFonts w:ascii="Arial" w:hAnsi="Arial"/>
                <w:b w:val="0"/>
                <w:sz w:val="16"/>
              </w:rPr>
              <w:t>CFO</w:t>
            </w:r>
          </w:p>
        </w:tc>
        <w:tc>
          <w:tcPr>
            <w:tcW w:type="dxa" w:w="8208"/>
            <w:shd w:val="clear" w:fill="F4F7FB"/>
          </w:tcPr>
          <w:p>
            <w:r/>
            <w:r>
              <w:rPr>
                <w:rFonts w:ascii="Arial" w:hAnsi="Arial"/>
                <w:b w:val="0"/>
                <w:sz w:val="16"/>
              </w:rPr>
              <w:t>Owns the finance function and agenda</w:t>
            </w:r>
          </w:p>
        </w:tc>
      </w:tr>
      <w:tr>
        <w:tc>
          <w:tcPr>
            <w:tcW w:type="dxa" w:w="3312"/>
          </w:tcPr>
          <w:p>
            <w:r/>
            <w:r>
              <w:rPr>
                <w:rFonts w:ascii="Arial" w:hAnsi="Arial"/>
                <w:b w:val="0"/>
                <w:sz w:val="16"/>
              </w:rPr>
              <w:t>Finance leadership</w:t>
            </w:r>
          </w:p>
        </w:tc>
        <w:tc>
          <w:tcPr>
            <w:tcW w:type="dxa" w:w="8208"/>
          </w:tcPr>
          <w:p>
            <w:r/>
            <w:r>
              <w:rPr>
                <w:rFonts w:ascii="Arial" w:hAnsi="Arial"/>
                <w:b w:val="0"/>
                <w:sz w:val="16"/>
              </w:rPr>
              <w:t>Run FP&amp;A, control, treasury, reporting</w:t>
            </w:r>
          </w:p>
        </w:tc>
      </w:tr>
      <w:tr>
        <w:tc>
          <w:tcPr>
            <w:tcW w:type="dxa" w:w="3312"/>
            <w:shd w:val="clear" w:fill="F4F7FB"/>
          </w:tcPr>
          <w:p>
            <w:r/>
            <w:r>
              <w:rPr>
                <w:rFonts w:ascii="Arial" w:hAnsi="Arial"/>
                <w:b w:val="0"/>
                <w:sz w:val="16"/>
              </w:rPr>
              <w:t>Finance business partners</w:t>
            </w:r>
          </w:p>
        </w:tc>
        <w:tc>
          <w:tcPr>
            <w:tcW w:type="dxa" w:w="8208"/>
            <w:shd w:val="clear" w:fill="F4F7FB"/>
          </w:tcPr>
          <w:p>
            <w:r/>
            <w:r>
              <w:rPr>
                <w:rFonts w:ascii="Arial" w:hAnsi="Arial"/>
                <w:b w:val="0"/>
                <w:sz w:val="16"/>
              </w:rPr>
              <w:t>Connect finance to the business</w:t>
            </w:r>
          </w:p>
        </w:tc>
      </w:tr>
      <w:tr>
        <w:tc>
          <w:tcPr>
            <w:tcW w:type="dxa" w:w="3312"/>
          </w:tcPr>
          <w:p>
            <w:r/>
            <w:r>
              <w:rPr>
                <w:rFonts w:ascii="Arial" w:hAnsi="Arial"/>
                <w:b w:val="0"/>
                <w:sz w:val="16"/>
              </w:rPr>
              <w:t>Finance team</w:t>
            </w:r>
          </w:p>
        </w:tc>
        <w:tc>
          <w:tcPr>
            <w:tcW w:type="dxa" w:w="8208"/>
          </w:tcPr>
          <w:p>
            <w:r/>
            <w:r>
              <w:rPr>
                <w:rFonts w:ascii="Arial" w:hAnsi="Arial"/>
                <w:b w:val="0"/>
                <w:sz w:val="16"/>
              </w:rPr>
              <w:t>Deliver close, reporting, analysis and controls</w:t>
            </w:r>
          </w:p>
        </w:tc>
      </w:tr>
    </w:tbl>
    <w:p>
      <w:pPr>
        <w:pStyle w:val="Heading2"/>
      </w:pPr>
      <w:r>
        <w:t>Reporting Example</w:t>
      </w:r>
    </w:p>
    <w:p>
      <w:r>
        <w:rPr>
          <w:b w:val="0"/>
          <w:i w:val="0"/>
          <w:sz w:val="19"/>
        </w:rPr>
        <w:t>Standard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ROIC</w:t>
            </w:r>
          </w:p>
        </w:tc>
        <w:tc>
          <w:tcPr>
            <w:tcW w:type="dxa" w:w="1440"/>
          </w:tcPr>
          <w:p>
            <w:r/>
            <w:r>
              <w:rPr>
                <w:rFonts w:ascii="Arial" w:hAnsi="Arial"/>
                <w:b w:val="0"/>
                <w:sz w:val="16"/>
              </w:rPr>
              <w:t>11%</w:t>
            </w:r>
          </w:p>
        </w:tc>
        <w:tc>
          <w:tcPr>
            <w:tcW w:type="dxa" w:w="1728"/>
          </w:tcPr>
          <w:p>
            <w:r/>
            <w:r>
              <w:rPr>
                <w:rFonts w:ascii="Arial" w:hAnsi="Arial"/>
                <w:b w:val="0"/>
                <w:sz w:val="16"/>
              </w:rPr>
              <w:t>≥14%</w:t>
            </w:r>
          </w:p>
        </w:tc>
        <w:tc>
          <w:tcPr>
            <w:tcW w:type="dxa" w:w="1152"/>
            <w:shd w:val="clear" w:fill="B23A48"/>
          </w:tcPr>
          <w:p>
            <w:pPr>
              <w:jc w:val="center"/>
            </w:pPr>
            <w:r/>
            <w:r>
              <w:rPr>
                <w:rFonts w:ascii="Arial" w:hAnsi="Arial"/>
                <w:b/>
                <w:color w:val="FFFFFF"/>
                <w:sz w:val="16"/>
              </w:rPr>
              <w:t>Red</w:t>
            </w:r>
          </w:p>
        </w:tc>
        <w:tc>
          <w:tcPr>
            <w:tcW w:type="dxa" w:w="3744"/>
          </w:tcPr>
          <w:p>
            <w:r/>
            <w:r>
              <w:rPr>
                <w:rFonts w:ascii="Arial" w:hAnsi="Arial"/>
                <w:b w:val="0"/>
                <w:sz w:val="16"/>
              </w:rPr>
              <w:t>Improve capital efficiency</w:t>
            </w:r>
          </w:p>
        </w:tc>
      </w:tr>
      <w:tr>
        <w:tc>
          <w:tcPr>
            <w:tcW w:type="dxa" w:w="2880"/>
            <w:shd w:val="clear" w:fill="F4F7FB"/>
          </w:tcPr>
          <w:p>
            <w:r/>
            <w:r>
              <w:rPr>
                <w:rFonts w:ascii="Arial" w:hAnsi="Arial"/>
                <w:b w:val="0"/>
                <w:sz w:val="16"/>
              </w:rPr>
              <w:t>Capital allocation alignment</w:t>
            </w:r>
          </w:p>
        </w:tc>
        <w:tc>
          <w:tcPr>
            <w:tcW w:type="dxa" w:w="1440"/>
            <w:shd w:val="clear" w:fill="F4F7FB"/>
          </w:tcPr>
          <w:p>
            <w:r/>
            <w:r>
              <w:rPr>
                <w:rFonts w:ascii="Arial" w:hAnsi="Arial"/>
                <w:b w:val="0"/>
                <w:sz w:val="16"/>
              </w:rPr>
              <w:t>70%</w:t>
            </w:r>
          </w:p>
        </w:tc>
        <w:tc>
          <w:tcPr>
            <w:tcW w:type="dxa" w:w="1728"/>
            <w:shd w:val="clear" w:fill="F4F7FB"/>
          </w:tcPr>
          <w:p>
            <w:r/>
            <w:r>
              <w:rPr>
                <w:rFonts w:ascii="Arial" w:hAnsi="Arial"/>
                <w:b w:val="0"/>
                <w:sz w:val="16"/>
              </w:rPr>
              <w:t>≥80%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Re-allocate to top bets</w:t>
            </w:r>
          </w:p>
        </w:tc>
      </w:tr>
      <w:tr>
        <w:tc>
          <w:tcPr>
            <w:tcW w:type="dxa" w:w="2880"/>
          </w:tcPr>
          <w:p>
            <w:r/>
            <w:r>
              <w:rPr>
                <w:rFonts w:ascii="Arial" w:hAnsi="Arial"/>
                <w:b w:val="0"/>
                <w:sz w:val="16"/>
              </w:rPr>
              <w:t>Benefit realisation</w:t>
            </w:r>
          </w:p>
        </w:tc>
        <w:tc>
          <w:tcPr>
            <w:tcW w:type="dxa" w:w="1440"/>
          </w:tcPr>
          <w:p>
            <w:r/>
            <w:r>
              <w:rPr>
                <w:rFonts w:ascii="Arial" w:hAnsi="Arial"/>
                <w:b w:val="0"/>
                <w:sz w:val="16"/>
              </w:rPr>
              <w:t>On plan</w:t>
            </w:r>
          </w:p>
        </w:tc>
        <w:tc>
          <w:tcPr>
            <w:tcW w:type="dxa" w:w="1728"/>
          </w:tcPr>
          <w:p>
            <w:r/>
            <w:r>
              <w:rPr>
                <w:rFonts w:ascii="Arial" w:hAnsi="Arial"/>
                <w:b w:val="0"/>
                <w:sz w:val="16"/>
              </w:rPr>
              <w:t>On plan</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2880"/>
            <w:shd w:val="clear" w:fill="F4F7FB"/>
          </w:tcPr>
          <w:p>
            <w:r/>
            <w:r>
              <w:rPr>
                <w:rFonts w:ascii="Arial" w:hAnsi="Arial"/>
                <w:b w:val="0"/>
                <w:sz w:val="16"/>
              </w:rPr>
              <w:t>Hurdle applied</w:t>
            </w:r>
          </w:p>
        </w:tc>
        <w:tc>
          <w:tcPr>
            <w:tcW w:type="dxa" w:w="1440"/>
            <w:shd w:val="clear" w:fill="F4F7FB"/>
          </w:tcPr>
          <w:p>
            <w:r/>
            <w:r>
              <w:rPr>
                <w:rFonts w:ascii="Arial" w:hAnsi="Arial"/>
                <w:b w:val="0"/>
                <w:sz w:val="16"/>
              </w:rPr>
              <w:t>Yes</w:t>
            </w:r>
          </w:p>
        </w:tc>
        <w:tc>
          <w:tcPr>
            <w:tcW w:type="dxa" w:w="1728"/>
            <w:shd w:val="clear" w:fill="F4F7FB"/>
          </w:tcPr>
          <w:p>
            <w:r/>
            <w:r>
              <w:rPr>
                <w:rFonts w:ascii="Arial" w:hAnsi="Arial"/>
                <w:b w:val="0"/>
                <w:sz w:val="16"/>
              </w:rPr>
              <w:t>Yes</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Capital allocation</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Disciplined; returns below hurdle in places</w:t>
            </w:r>
          </w:p>
        </w:tc>
      </w:tr>
      <w:tr>
        <w:tc>
          <w:tcPr>
            <w:tcW w:type="dxa" w:w="2736"/>
            <w:shd w:val="clear" w:fill="F4F7FB"/>
          </w:tcPr>
          <w:p>
            <w:r/>
            <w:r>
              <w:rPr>
                <w:rFonts w:ascii="Arial" w:hAnsi="Arial"/>
                <w:b w:val="0"/>
                <w:sz w:val="16"/>
              </w:rPr>
              <w:t>Returns</w:t>
            </w:r>
          </w:p>
        </w:tc>
        <w:tc>
          <w:tcPr>
            <w:tcW w:type="dxa" w:w="1440"/>
            <w:shd w:val="clear" w:fill="F4F7FB"/>
            <w:shd w:val="clear" w:fill="B23A48"/>
          </w:tcPr>
          <w:p>
            <w:pPr>
              <w:jc w:val="center"/>
            </w:pPr>
            <w:r/>
            <w:r>
              <w:rPr>
                <w:rFonts w:ascii="Arial" w:hAnsi="Arial"/>
                <w:b/>
                <w:color w:val="FFFFFF"/>
                <w:sz w:val="16"/>
              </w:rPr>
              <w:t>Red</w:t>
            </w:r>
          </w:p>
        </w:tc>
        <w:tc>
          <w:tcPr>
            <w:tcW w:type="dxa" w:w="7344"/>
            <w:shd w:val="clear" w:fill="F4F7FB"/>
          </w:tcPr>
          <w:p>
            <w:r/>
            <w:r>
              <w:rPr>
                <w:rFonts w:ascii="Arial" w:hAnsi="Arial"/>
                <w:b w:val="0"/>
                <w:sz w:val="16"/>
              </w:rPr>
              <w:t>ROIC below hurdle</w:t>
            </w:r>
          </w:p>
        </w:tc>
      </w:tr>
      <w:tr>
        <w:tc>
          <w:tcPr>
            <w:tcW w:type="dxa" w:w="2736"/>
          </w:tcPr>
          <w:p>
            <w:r/>
            <w:r>
              <w:rPr>
                <w:rFonts w:ascii="Arial" w:hAnsi="Arial"/>
                <w:b w:val="0"/>
                <w:sz w:val="16"/>
              </w:rPr>
              <w:t>Alignment</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Not fully aligned to top opportunities</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capital re-allocation</w:t>
            </w:r>
          </w:p>
        </w:tc>
      </w:tr>
    </w:tbl>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