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CFO Board Pack Template</w:t>
      </w:r>
    </w:p>
    <w:p>
      <w:pPr>
        <w:jc w:val="center"/>
      </w:pPr>
      <w:r>
        <w:rPr>
          <w:color w:val="C97B2C"/>
          <w:sz w:val="26"/>
        </w:rPr>
        <w:t>The standard CFO pack for board meetings</w:t>
      </w:r>
    </w:p>
    <w:p/>
    <w:p/>
    <w:p>
      <w:pPr>
        <w:jc w:val="center"/>
      </w:pPr>
      <w:r>
        <w:rPr>
          <w:color w:val="555555"/>
          <w:sz w:val="20"/>
        </w:rPr>
        <w:t>CFO / Board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Contents &amp; Structure</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Section</w:t>
            </w:r>
          </w:p>
        </w:tc>
        <w:tc>
          <w:tcPr>
            <w:tcW w:type="dxa" w:w="8352"/>
            <w:shd w:val="clear" w:fill="1B4D89"/>
          </w:tcPr>
          <w:p>
            <w:r/>
            <w:r>
              <w:rPr>
                <w:rFonts w:ascii="Arial" w:hAnsi="Arial"/>
                <w:b/>
                <w:color w:val="FFFFFF"/>
                <w:sz w:val="16"/>
              </w:rPr>
              <w:t>Content</w:t>
            </w:r>
          </w:p>
        </w:tc>
      </w:tr>
      <w:tr>
        <w:tc>
          <w:tcPr>
            <w:tcW w:type="dxa" w:w="3168"/>
          </w:tcPr>
          <w:p>
            <w:r/>
            <w:r>
              <w:rPr>
                <w:rFonts w:ascii="Arial" w:hAnsi="Arial"/>
                <w:b w:val="0"/>
                <w:sz w:val="16"/>
              </w:rPr>
              <w:t>1. Executive summary</w:t>
            </w:r>
          </w:p>
        </w:tc>
        <w:tc>
          <w:tcPr>
            <w:tcW w:type="dxa" w:w="8352"/>
          </w:tcPr>
          <w:p>
            <w:r/>
            <w:r>
              <w:rPr>
                <w:rFonts w:ascii="Arial" w:hAnsi="Arial"/>
                <w:b w:val="0"/>
                <w:sz w:val="16"/>
              </w:rPr>
              <w:t>Headlines, RAG, key decisions</w:t>
            </w:r>
          </w:p>
        </w:tc>
      </w:tr>
      <w:tr>
        <w:tc>
          <w:tcPr>
            <w:tcW w:type="dxa" w:w="3168"/>
            <w:shd w:val="clear" w:fill="F4F7FB"/>
          </w:tcPr>
          <w:p>
            <w:r/>
            <w:r>
              <w:rPr>
                <w:rFonts w:ascii="Arial" w:hAnsi="Arial"/>
                <w:b w:val="0"/>
                <w:sz w:val="16"/>
              </w:rPr>
              <w:t>2. Financial performance</w:t>
            </w:r>
          </w:p>
        </w:tc>
        <w:tc>
          <w:tcPr>
            <w:tcW w:type="dxa" w:w="8352"/>
            <w:shd w:val="clear" w:fill="F4F7FB"/>
          </w:tcPr>
          <w:p>
            <w:r/>
            <w:r>
              <w:rPr>
                <w:rFonts w:ascii="Arial" w:hAnsi="Arial"/>
                <w:b w:val="0"/>
                <w:sz w:val="16"/>
              </w:rPr>
              <w:t>P&amp;L vs budget, margin, variance</w:t>
            </w:r>
          </w:p>
        </w:tc>
      </w:tr>
      <w:tr>
        <w:tc>
          <w:tcPr>
            <w:tcW w:type="dxa" w:w="3168"/>
          </w:tcPr>
          <w:p>
            <w:r/>
            <w:r>
              <w:rPr>
                <w:rFonts w:ascii="Arial" w:hAnsi="Arial"/>
                <w:b w:val="0"/>
                <w:sz w:val="16"/>
              </w:rPr>
              <w:t>3. Cash &amp; liquidity</w:t>
            </w:r>
          </w:p>
        </w:tc>
        <w:tc>
          <w:tcPr>
            <w:tcW w:type="dxa" w:w="8352"/>
          </w:tcPr>
          <w:p>
            <w:r/>
            <w:r>
              <w:rPr>
                <w:rFonts w:ascii="Arial" w:hAnsi="Arial"/>
                <w:b w:val="0"/>
                <w:sz w:val="16"/>
              </w:rPr>
              <w:t>Cash position, forecast, treasury</w:t>
            </w:r>
          </w:p>
        </w:tc>
      </w:tr>
      <w:tr>
        <w:tc>
          <w:tcPr>
            <w:tcW w:type="dxa" w:w="3168"/>
            <w:shd w:val="clear" w:fill="F4F7FB"/>
          </w:tcPr>
          <w:p>
            <w:r/>
            <w:r>
              <w:rPr>
                <w:rFonts w:ascii="Arial" w:hAnsi="Arial"/>
                <w:b w:val="0"/>
                <w:sz w:val="16"/>
              </w:rPr>
              <w:t>4. Balance sheet &amp; capital</w:t>
            </w:r>
          </w:p>
        </w:tc>
        <w:tc>
          <w:tcPr>
            <w:tcW w:type="dxa" w:w="8352"/>
            <w:shd w:val="clear" w:fill="F4F7FB"/>
          </w:tcPr>
          <w:p>
            <w:r/>
            <w:r>
              <w:rPr>
                <w:rFonts w:ascii="Arial" w:hAnsi="Arial"/>
                <w:b w:val="0"/>
                <w:sz w:val="16"/>
              </w:rPr>
              <w:t>Working capital, debt, capital</w:t>
            </w:r>
          </w:p>
        </w:tc>
      </w:tr>
      <w:tr>
        <w:tc>
          <w:tcPr>
            <w:tcW w:type="dxa" w:w="3168"/>
          </w:tcPr>
          <w:p>
            <w:r/>
            <w:r>
              <w:rPr>
                <w:rFonts w:ascii="Arial" w:hAnsi="Arial"/>
                <w:b w:val="0"/>
                <w:sz w:val="16"/>
              </w:rPr>
              <w:t>5. KPIs &amp; dashboard</w:t>
            </w:r>
          </w:p>
        </w:tc>
        <w:tc>
          <w:tcPr>
            <w:tcW w:type="dxa" w:w="8352"/>
          </w:tcPr>
          <w:p>
            <w:r/>
            <w:r>
              <w:rPr>
                <w:rFonts w:ascii="Arial" w:hAnsi="Arial"/>
                <w:b w:val="0"/>
                <w:sz w:val="16"/>
              </w:rPr>
              <w:t>Finance scorecard with RAG</w:t>
            </w:r>
          </w:p>
        </w:tc>
      </w:tr>
      <w:tr>
        <w:tc>
          <w:tcPr>
            <w:tcW w:type="dxa" w:w="3168"/>
            <w:shd w:val="clear" w:fill="F4F7FB"/>
          </w:tcPr>
          <w:p>
            <w:r/>
            <w:r>
              <w:rPr>
                <w:rFonts w:ascii="Arial" w:hAnsi="Arial"/>
                <w:b w:val="0"/>
                <w:sz w:val="16"/>
              </w:rPr>
              <w:t>6. Risks &amp; controls</w:t>
            </w:r>
          </w:p>
        </w:tc>
        <w:tc>
          <w:tcPr>
            <w:tcW w:type="dxa" w:w="8352"/>
            <w:shd w:val="clear" w:fill="F4F7FB"/>
          </w:tcPr>
          <w:p>
            <w:r/>
            <w:r>
              <w:rPr>
                <w:rFonts w:ascii="Arial" w:hAnsi="Arial"/>
                <w:b w:val="0"/>
                <w:sz w:val="16"/>
              </w:rPr>
              <w:t>Financial risks, control status</w:t>
            </w:r>
          </w:p>
        </w:tc>
      </w:tr>
      <w:tr>
        <w:tc>
          <w:tcPr>
            <w:tcW w:type="dxa" w:w="3168"/>
          </w:tcPr>
          <w:p>
            <w:r/>
            <w:r>
              <w:rPr>
                <w:rFonts w:ascii="Arial" w:hAnsi="Arial"/>
                <w:b w:val="0"/>
                <w:sz w:val="16"/>
              </w:rPr>
              <w:t>7. Outlook &amp; forecast</w:t>
            </w:r>
          </w:p>
        </w:tc>
        <w:tc>
          <w:tcPr>
            <w:tcW w:type="dxa" w:w="8352"/>
          </w:tcPr>
          <w:p>
            <w:r/>
            <w:r>
              <w:rPr>
                <w:rFonts w:ascii="Arial" w:hAnsi="Arial"/>
                <w:b w:val="0"/>
                <w:sz w:val="16"/>
              </w:rPr>
              <w:t>Reforecast and scenarios</w:t>
            </w:r>
          </w:p>
        </w:tc>
      </w:tr>
      <w:tr>
        <w:tc>
          <w:tcPr>
            <w:tcW w:type="dxa" w:w="3168"/>
            <w:shd w:val="clear" w:fill="F4F7FB"/>
          </w:tcPr>
          <w:p>
            <w:r/>
            <w:r>
              <w:rPr>
                <w:rFonts w:ascii="Arial" w:hAnsi="Arial"/>
                <w:b w:val="0"/>
                <w:sz w:val="16"/>
              </w:rPr>
              <w:t>8. Decisions sought</w:t>
            </w:r>
          </w:p>
        </w:tc>
        <w:tc>
          <w:tcPr>
            <w:tcW w:type="dxa" w:w="8352"/>
            <w:shd w:val="clear" w:fill="F4F7FB"/>
          </w:tcPr>
          <w:p>
            <w:r/>
            <w:r>
              <w:rPr>
                <w:rFonts w:ascii="Arial" w:hAnsi="Arial"/>
                <w:b w:val="0"/>
                <w:sz w:val="16"/>
              </w:rPr>
              <w:t>Items for board approval</w:t>
            </w:r>
          </w:p>
        </w:tc>
      </w:tr>
    </w:tbl>
    <w:p>
      <w:pPr>
        <w:pStyle w:val="Heading1"/>
      </w:pPr>
      <w:r>
        <w:t>2. Executive Summary (template)</w:t>
      </w:r>
    </w:p>
    <w:p>
      <w:r>
        <w:rPr>
          <w:b w:val="0"/>
          <w:i w:val="0"/>
          <w:sz w:val="20"/>
        </w:rPr>
        <w:t>[Overall RAG and 3–5 key messages. Example: Revenue [x]% vs budget; EBITDA margin [x]%; cash position strong; ROIC below hurdle; reforecast attached; decisions sought on capital allocation.]</w:t>
      </w:r>
    </w:p>
    <w:p>
      <w:pPr>
        <w:pStyle w:val="Heading1"/>
      </w:pPr>
      <w:r>
        <w:t>3. Financial Performance (template)</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Measure</w:t>
            </w:r>
          </w:p>
        </w:tc>
        <w:tc>
          <w:tcPr>
            <w:tcW w:type="dxa" w:w="1728"/>
            <w:shd w:val="clear" w:fill="1B4D89"/>
          </w:tcPr>
          <w:p>
            <w:r/>
            <w:r>
              <w:rPr>
                <w:rFonts w:ascii="Arial" w:hAnsi="Arial"/>
                <w:b/>
                <w:color w:val="FFFFFF"/>
                <w:sz w:val="16"/>
              </w:rPr>
              <w:t>Actual</w:t>
            </w:r>
          </w:p>
        </w:tc>
        <w:tc>
          <w:tcPr>
            <w:tcW w:type="dxa" w:w="1728"/>
            <w:shd w:val="clear" w:fill="1B4D89"/>
          </w:tcPr>
          <w:p>
            <w:r/>
            <w:r>
              <w:rPr>
                <w:rFonts w:ascii="Arial" w:hAnsi="Arial"/>
                <w:b/>
                <w:color w:val="FFFFFF"/>
                <w:sz w:val="16"/>
              </w:rPr>
              <w:t>Budget</w:t>
            </w:r>
          </w:p>
        </w:tc>
        <w:tc>
          <w:tcPr>
            <w:tcW w:type="dxa" w:w="1728"/>
            <w:shd w:val="clear" w:fill="1B4D89"/>
          </w:tcPr>
          <w:p>
            <w:r/>
            <w:r>
              <w:rPr>
                <w:rFonts w:ascii="Arial" w:hAnsi="Arial"/>
                <w:b/>
                <w:color w:val="FFFFFF"/>
                <w:sz w:val="16"/>
              </w:rPr>
              <w:t>Variance</w:t>
            </w:r>
          </w:p>
        </w:tc>
        <w:tc>
          <w:tcPr>
            <w:tcW w:type="dxa" w:w="1440"/>
            <w:shd w:val="clear" w:fill="1B4D89"/>
          </w:tcPr>
          <w:p>
            <w:r/>
            <w:r>
              <w:rPr>
                <w:rFonts w:ascii="Arial" w:hAnsi="Arial"/>
                <w:b/>
                <w:color w:val="FFFFFF"/>
                <w:sz w:val="16"/>
              </w:rPr>
              <w:t>RAG</w:t>
            </w:r>
          </w:p>
        </w:tc>
      </w:tr>
      <w:tr>
        <w:tc>
          <w:tcPr>
            <w:tcW w:type="dxa" w:w="3168"/>
          </w:tcPr>
          <w:p>
            <w:r/>
            <w:r>
              <w:rPr>
                <w:rFonts w:ascii="Arial" w:hAnsi="Arial"/>
                <w:b w:val="0"/>
                <w:sz w:val="16"/>
              </w:rPr>
              <w:t>Revenue (₦m)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440"/>
            <w:shd w:val="clear" w:fill="E08A2B"/>
          </w:tcPr>
          <w:p>
            <w:pPr>
              <w:jc w:val="center"/>
            </w:pPr>
            <w:r/>
            <w:r>
              <w:rPr>
                <w:rFonts w:ascii="Arial" w:hAnsi="Arial"/>
                <w:b/>
                <w:color w:val="FFFFFF"/>
                <w:sz w:val="16"/>
              </w:rPr>
              <w:t>Amber</w:t>
            </w:r>
          </w:p>
        </w:tc>
      </w:tr>
      <w:tr>
        <w:tc>
          <w:tcPr>
            <w:tcW w:type="dxa" w:w="3168"/>
            <w:shd w:val="clear" w:fill="F4F7FB"/>
          </w:tcPr>
          <w:p>
            <w:r/>
            <w:r>
              <w:rPr>
                <w:rFonts w:ascii="Arial" w:hAnsi="Arial"/>
                <w:b w:val="0"/>
                <w:sz w:val="16"/>
              </w:rPr>
              <w:t>Gross margin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440"/>
            <w:shd w:val="clear" w:fill="F4F7FB"/>
            <w:shd w:val="clear" w:fill="E08A2B"/>
          </w:tcPr>
          <w:p>
            <w:pPr>
              <w:jc w:val="center"/>
            </w:pPr>
            <w:r/>
            <w:r>
              <w:rPr>
                <w:rFonts w:ascii="Arial" w:hAnsi="Arial"/>
                <w:b/>
                <w:color w:val="FFFFFF"/>
                <w:sz w:val="16"/>
              </w:rPr>
              <w:t>Amber</w:t>
            </w:r>
          </w:p>
        </w:tc>
      </w:tr>
      <w:tr>
        <w:tc>
          <w:tcPr>
            <w:tcW w:type="dxa" w:w="3168"/>
          </w:tcPr>
          <w:p>
            <w:r/>
            <w:r>
              <w:rPr>
                <w:rFonts w:ascii="Arial" w:hAnsi="Arial"/>
                <w:b w:val="0"/>
                <w:sz w:val="16"/>
              </w:rPr>
              <w:t>EBITDA (₦m)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440"/>
            <w:shd w:val="clear" w:fill="E08A2B"/>
          </w:tcPr>
          <w:p>
            <w:pPr>
              <w:jc w:val="center"/>
            </w:pPr>
            <w:r/>
            <w:r>
              <w:rPr>
                <w:rFonts w:ascii="Arial" w:hAnsi="Arial"/>
                <w:b/>
                <w:color w:val="FFFFFF"/>
                <w:sz w:val="16"/>
              </w:rPr>
              <w:t>Amber</w:t>
            </w:r>
          </w:p>
        </w:tc>
      </w:tr>
      <w:tr>
        <w:tc>
          <w:tcPr>
            <w:tcW w:type="dxa" w:w="3168"/>
            <w:shd w:val="clear" w:fill="F4F7FB"/>
          </w:tcPr>
          <w:p>
            <w:r/>
            <w:r>
              <w:rPr>
                <w:rFonts w:ascii="Arial" w:hAnsi="Arial"/>
                <w:b w:val="0"/>
                <w:sz w:val="16"/>
              </w:rPr>
              <w:t>EBITDA margin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440"/>
            <w:shd w:val="clear" w:fill="F4F7FB"/>
            <w:shd w:val="clear" w:fill="B23A48"/>
          </w:tcPr>
          <w:p>
            <w:pPr>
              <w:jc w:val="center"/>
            </w:pPr>
            <w:r/>
            <w:r>
              <w:rPr>
                <w:rFonts w:ascii="Arial" w:hAnsi="Arial"/>
                <w:b/>
                <w:color w:val="FFFFFF"/>
                <w:sz w:val="16"/>
              </w:rPr>
              <w:t>Red</w:t>
            </w:r>
          </w:p>
        </w:tc>
      </w:tr>
    </w:tbl>
    <w:p>
      <w:pPr>
        <w:pStyle w:val="Heading1"/>
      </w:pPr>
      <w:r>
        <w:t>4. Cash, Capital &amp; Risk (template)</w:t>
      </w:r>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6912"/>
            <w:shd w:val="clear" w:fill="1B4D89"/>
          </w:tcPr>
          <w:p>
            <w:r/>
            <w:r>
              <w:rPr>
                <w:rFonts w:ascii="Arial" w:hAnsi="Arial"/>
                <w:b/>
                <w:color w:val="FFFFFF"/>
                <w:sz w:val="16"/>
              </w:rPr>
              <w:t>Note</w:t>
            </w:r>
          </w:p>
        </w:tc>
      </w:tr>
      <w:tr>
        <w:tc>
          <w:tcPr>
            <w:tcW w:type="dxa" w:w="3168"/>
          </w:tcPr>
          <w:p>
            <w:r/>
            <w:r>
              <w:rPr>
                <w:rFonts w:ascii="Arial" w:hAnsi="Arial"/>
                <w:b w:val="0"/>
                <w:sz w:val="16"/>
              </w:rPr>
              <w:t>Cash &amp; liquidity</w:t>
            </w:r>
          </w:p>
        </w:tc>
        <w:tc>
          <w:tcPr>
            <w:tcW w:type="dxa" w:w="1440"/>
            <w:shd w:val="clear" w:fill="2E7D5B"/>
          </w:tcPr>
          <w:p>
            <w:pPr>
              <w:jc w:val="center"/>
            </w:pPr>
            <w:r/>
            <w:r>
              <w:rPr>
                <w:rFonts w:ascii="Arial" w:hAnsi="Arial"/>
                <w:b/>
                <w:color w:val="FFFFFF"/>
                <w:sz w:val="16"/>
              </w:rPr>
              <w:t>Green</w:t>
            </w:r>
          </w:p>
        </w:tc>
        <w:tc>
          <w:tcPr>
            <w:tcW w:type="dxa" w:w="6912"/>
          </w:tcPr>
          <w:p>
            <w:r/>
            <w:r>
              <w:rPr>
                <w:rFonts w:ascii="Arial" w:hAnsi="Arial"/>
                <w:b w:val="0"/>
                <w:sz w:val="16"/>
              </w:rPr>
              <w:t>[headroom]</w:t>
            </w:r>
          </w:p>
        </w:tc>
      </w:tr>
      <w:tr>
        <w:tc>
          <w:tcPr>
            <w:tcW w:type="dxa" w:w="3168"/>
            <w:shd w:val="clear" w:fill="F4F7FB"/>
          </w:tcPr>
          <w:p>
            <w:r/>
            <w:r>
              <w:rPr>
                <w:rFonts w:ascii="Arial" w:hAnsi="Arial"/>
                <w:b w:val="0"/>
                <w:sz w:val="16"/>
              </w:rPr>
              <w:t>Working capital</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[CCC days]</w:t>
            </w:r>
          </w:p>
        </w:tc>
      </w:tr>
      <w:tr>
        <w:tc>
          <w:tcPr>
            <w:tcW w:type="dxa" w:w="3168"/>
          </w:tcPr>
          <w:p>
            <w:r/>
            <w:r>
              <w:rPr>
                <w:rFonts w:ascii="Arial" w:hAnsi="Arial"/>
                <w:b w:val="0"/>
                <w:sz w:val="16"/>
              </w:rPr>
              <w:t>Debt &amp; covenants</w:t>
            </w:r>
          </w:p>
        </w:tc>
        <w:tc>
          <w:tcPr>
            <w:tcW w:type="dxa" w:w="1440"/>
            <w:shd w:val="clear" w:fill="2E7D5B"/>
          </w:tcPr>
          <w:p>
            <w:pPr>
              <w:jc w:val="center"/>
            </w:pPr>
            <w:r/>
            <w:r>
              <w:rPr>
                <w:rFonts w:ascii="Arial" w:hAnsi="Arial"/>
                <w:b/>
                <w:color w:val="FFFFFF"/>
                <w:sz w:val="16"/>
              </w:rPr>
              <w:t>Green</w:t>
            </w:r>
          </w:p>
        </w:tc>
        <w:tc>
          <w:tcPr>
            <w:tcW w:type="dxa" w:w="6912"/>
          </w:tcPr>
          <w:p>
            <w:r/>
            <w:r>
              <w:rPr>
                <w:rFonts w:ascii="Arial" w:hAnsi="Arial"/>
                <w:b w:val="0"/>
                <w:sz w:val="16"/>
              </w:rPr>
              <w:t>[headroom]</w:t>
            </w:r>
          </w:p>
        </w:tc>
      </w:tr>
      <w:tr>
        <w:tc>
          <w:tcPr>
            <w:tcW w:type="dxa" w:w="3168"/>
            <w:shd w:val="clear" w:fill="F4F7FB"/>
          </w:tcPr>
          <w:p>
            <w:r/>
            <w:r>
              <w:rPr>
                <w:rFonts w:ascii="Arial" w:hAnsi="Arial"/>
                <w:b w:val="0"/>
                <w:sz w:val="16"/>
              </w:rPr>
              <w:t>Top financial risk</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[risk &amp; mitigation]</w:t>
            </w:r>
          </w:p>
        </w:tc>
      </w:tr>
    </w:tbl>
    <w:p>
      <w:pPr>
        <w:pStyle w:val="Heading1"/>
      </w:pPr>
      <w:r>
        <w:t>5. Decisions Sought</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