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Sustainability Governance Charter</w:t>
      </w:r>
    </w:p>
    <w:p>
      <w:pPr>
        <w:jc w:val="center"/>
      </w:pPr>
      <w:r>
        <w:rPr>
          <w:color w:val="C97B2C"/>
          <w:sz w:val="26"/>
        </w:rPr>
        <w:t>How sustainability is governed across the organisation</w:t>
      </w:r>
    </w:p>
    <w:p/>
    <w:p/>
    <w:p>
      <w:pPr>
        <w:jc w:val="center"/>
      </w:pPr>
      <w:r>
        <w:rPr>
          <w:color w:val="555555"/>
          <w:sz w:val="20"/>
        </w:rPr>
        <w:t>Board / Executive / CSO  ·  Flagship Edition 2026</w:t>
      </w:r>
    </w:p>
    <w:p>
      <w:pPr>
        <w:jc w:val="center"/>
      </w:pPr>
      <w:r>
        <w:rPr>
          <w:i/>
          <w:color w:val="555555"/>
          <w:sz w:val="18"/>
        </w:rPr>
        <w:t>Outliers Professionals Ltd — ESG &amp; Sustainability Centre Resource Library</w:t>
      </w:r>
    </w:p>
    <w:p>
      <w:r>
        <w:br w:type="page"/>
      </w:r>
    </w:p>
    <w:p>
      <w:pPr>
        <w:pStyle w:val="Heading1"/>
      </w:pPr>
      <w:r>
        <w:t>1. Purpose</w:t>
      </w:r>
    </w:p>
    <w:p>
      <w:r>
        <w:rPr>
          <w:b w:val="0"/>
          <w:i w:val="0"/>
          <w:sz w:val="20"/>
        </w:rPr>
        <w:t>This charter sets out how sustainability is governed — from the board to management — so ESG strategy, risk and disclosure are owned, delivered and assured. It is a template; confirm against the organisation's governance framework.</w:t>
      </w:r>
    </w:p>
    <w:p>
      <w:pPr>
        <w:pStyle w:val="Heading1"/>
      </w:pPr>
      <w:r>
        <w:t>2. Governance Structure</w:t>
      </w:r>
    </w:p>
    <w:tbl>
      <w:tblPr>
        <w:tblStyle w:val="TableGrid"/>
        <w:tblW w:type="auto" w:w="0"/>
        <w:jc w:val="center"/>
        <w:tblLook w:firstColumn="1" w:firstRow="1" w:lastColumn="0" w:lastRow="0" w:noHBand="0" w:noVBand="1" w:val="04A0"/>
      </w:tblPr>
      <w:tblGrid>
        <w:gridCol w:w="4896"/>
        <w:gridCol w:w="4896"/>
      </w:tblGrid>
      <w:tr>
        <w:tc>
          <w:tcPr>
            <w:tcW w:type="dxa" w:w="3744"/>
            <w:shd w:val="clear" w:fill="1B4D89"/>
          </w:tcPr>
          <w:p>
            <w:r/>
            <w:r>
              <w:rPr>
                <w:rFonts w:ascii="Arial" w:hAnsi="Arial"/>
                <w:b/>
                <w:color w:val="FFFFFF"/>
                <w:sz w:val="16"/>
              </w:rPr>
              <w:t>Layer</w:t>
            </w:r>
          </w:p>
        </w:tc>
        <w:tc>
          <w:tcPr>
            <w:tcW w:type="dxa" w:w="7776"/>
            <w:shd w:val="clear" w:fill="1B4D89"/>
          </w:tcPr>
          <w:p>
            <w:r/>
            <w:r>
              <w:rPr>
                <w:rFonts w:ascii="Arial" w:hAnsi="Arial"/>
                <w:b/>
                <w:color w:val="FFFFFF"/>
                <w:sz w:val="16"/>
              </w:rPr>
              <w:t>Role in sustainability governance</w:t>
            </w:r>
          </w:p>
        </w:tc>
      </w:tr>
      <w:tr>
        <w:tc>
          <w:tcPr>
            <w:tcW w:type="dxa" w:w="3744"/>
          </w:tcPr>
          <w:p>
            <w:r/>
            <w:r>
              <w:rPr>
                <w:rFonts w:ascii="Arial" w:hAnsi="Arial"/>
                <w:b w:val="0"/>
                <w:sz w:val="16"/>
              </w:rPr>
              <w:t>Board</w:t>
            </w:r>
          </w:p>
        </w:tc>
        <w:tc>
          <w:tcPr>
            <w:tcW w:type="dxa" w:w="7776"/>
          </w:tcPr>
          <w:p>
            <w:r/>
            <w:r>
              <w:rPr>
                <w:rFonts w:ascii="Arial" w:hAnsi="Arial"/>
                <w:b w:val="0"/>
                <w:sz w:val="16"/>
              </w:rPr>
              <w:t>Approves ESG strategy, ambition and risk appetite</w:t>
            </w:r>
          </w:p>
        </w:tc>
      </w:tr>
      <w:tr>
        <w:tc>
          <w:tcPr>
            <w:tcW w:type="dxa" w:w="3744"/>
            <w:shd w:val="clear" w:fill="F4F7FB"/>
          </w:tcPr>
          <w:p>
            <w:r/>
            <w:r>
              <w:rPr>
                <w:rFonts w:ascii="Arial" w:hAnsi="Arial"/>
                <w:b w:val="0"/>
                <w:sz w:val="16"/>
              </w:rPr>
              <w:t>ESG / Sustainability Committee</w:t>
            </w:r>
          </w:p>
        </w:tc>
        <w:tc>
          <w:tcPr>
            <w:tcW w:type="dxa" w:w="7776"/>
            <w:shd w:val="clear" w:fill="F4F7FB"/>
          </w:tcPr>
          <w:p>
            <w:r/>
            <w:r>
              <w:rPr>
                <w:rFonts w:ascii="Arial" w:hAnsi="Arial"/>
                <w:b w:val="0"/>
                <w:sz w:val="16"/>
              </w:rPr>
              <w:t>Oversees ESG strategy, performance and disclosure</w:t>
            </w:r>
          </w:p>
        </w:tc>
      </w:tr>
      <w:tr>
        <w:tc>
          <w:tcPr>
            <w:tcW w:type="dxa" w:w="3744"/>
          </w:tcPr>
          <w:p>
            <w:r/>
            <w:r>
              <w:rPr>
                <w:rFonts w:ascii="Arial" w:hAnsi="Arial"/>
                <w:b w:val="0"/>
                <w:sz w:val="16"/>
              </w:rPr>
              <w:t>CEO / Executive</w:t>
            </w:r>
          </w:p>
        </w:tc>
        <w:tc>
          <w:tcPr>
            <w:tcW w:type="dxa" w:w="7776"/>
          </w:tcPr>
          <w:p>
            <w:r/>
            <w:r>
              <w:rPr>
                <w:rFonts w:ascii="Arial" w:hAnsi="Arial"/>
                <w:b w:val="0"/>
                <w:sz w:val="16"/>
              </w:rPr>
              <w:t>Accountable for ESG delivery</w:t>
            </w:r>
          </w:p>
        </w:tc>
      </w:tr>
      <w:tr>
        <w:tc>
          <w:tcPr>
            <w:tcW w:type="dxa" w:w="3744"/>
            <w:shd w:val="clear" w:fill="F4F7FB"/>
          </w:tcPr>
          <w:p>
            <w:r/>
            <w:r>
              <w:rPr>
                <w:rFonts w:ascii="Arial" w:hAnsi="Arial"/>
                <w:b w:val="0"/>
                <w:sz w:val="16"/>
              </w:rPr>
              <w:t>Chief Sustainability Officer</w:t>
            </w:r>
          </w:p>
        </w:tc>
        <w:tc>
          <w:tcPr>
            <w:tcW w:type="dxa" w:w="7776"/>
            <w:shd w:val="clear" w:fill="F4F7FB"/>
          </w:tcPr>
          <w:p>
            <w:r/>
            <w:r>
              <w:rPr>
                <w:rFonts w:ascii="Arial" w:hAnsi="Arial"/>
                <w:b w:val="0"/>
                <w:sz w:val="16"/>
              </w:rPr>
              <w:t>Leads ESG strategy and the operating model</w:t>
            </w:r>
          </w:p>
        </w:tc>
      </w:tr>
      <w:tr>
        <w:tc>
          <w:tcPr>
            <w:tcW w:type="dxa" w:w="3744"/>
          </w:tcPr>
          <w:p>
            <w:r/>
            <w:r>
              <w:rPr>
                <w:rFonts w:ascii="Arial" w:hAnsi="Arial"/>
                <w:b w:val="0"/>
                <w:sz w:val="16"/>
              </w:rPr>
              <w:t>Functional owners</w:t>
            </w:r>
          </w:p>
        </w:tc>
        <w:tc>
          <w:tcPr>
            <w:tcW w:type="dxa" w:w="7776"/>
          </w:tcPr>
          <w:p>
            <w:r/>
            <w:r>
              <w:rPr>
                <w:rFonts w:ascii="Arial" w:hAnsi="Arial"/>
                <w:b w:val="0"/>
                <w:sz w:val="16"/>
              </w:rPr>
              <w:t>Own ESG topics (climate, social, data)</w:t>
            </w:r>
          </w:p>
        </w:tc>
      </w:tr>
      <w:tr>
        <w:tc>
          <w:tcPr>
            <w:tcW w:type="dxa" w:w="3744"/>
            <w:shd w:val="clear" w:fill="F4F7FB"/>
          </w:tcPr>
          <w:p>
            <w:r/>
            <w:r>
              <w:rPr>
                <w:rFonts w:ascii="Arial" w:hAnsi="Arial"/>
                <w:b w:val="0"/>
                <w:sz w:val="16"/>
              </w:rPr>
              <w:t>Internal audit / assurance</w:t>
            </w:r>
          </w:p>
        </w:tc>
        <w:tc>
          <w:tcPr>
            <w:tcW w:type="dxa" w:w="7776"/>
            <w:shd w:val="clear" w:fill="F4F7FB"/>
          </w:tcPr>
          <w:p>
            <w:r/>
            <w:r>
              <w:rPr>
                <w:rFonts w:ascii="Arial" w:hAnsi="Arial"/>
                <w:b w:val="0"/>
                <w:sz w:val="16"/>
              </w:rPr>
              <w:t>Provides assurance over ESG</w:t>
            </w:r>
          </w:p>
        </w:tc>
      </w:tr>
    </w:tbl>
    <w:p>
      <w:pPr>
        <w:pStyle w:val="Heading1"/>
      </w:pPr>
      <w:r>
        <w:t>3. Roles &amp; Accountability (RACI summary)</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168"/>
            <w:shd w:val="clear" w:fill="1B4D89"/>
          </w:tcPr>
          <w:p>
            <w:r/>
            <w:r>
              <w:rPr>
                <w:rFonts w:ascii="Arial" w:hAnsi="Arial"/>
                <w:b/>
                <w:color w:val="FFFFFF"/>
                <w:sz w:val="16"/>
              </w:rPr>
              <w:t>Activity</w:t>
            </w:r>
          </w:p>
        </w:tc>
        <w:tc>
          <w:tcPr>
            <w:tcW w:type="dxa" w:w="2592"/>
            <w:shd w:val="clear" w:fill="1B4D89"/>
          </w:tcPr>
          <w:p>
            <w:r/>
            <w:r>
              <w:rPr>
                <w:rFonts w:ascii="Arial" w:hAnsi="Arial"/>
                <w:b/>
                <w:color w:val="FFFFFF"/>
                <w:sz w:val="16"/>
              </w:rPr>
              <w:t>Accountable</w:t>
            </w:r>
          </w:p>
        </w:tc>
        <w:tc>
          <w:tcPr>
            <w:tcW w:type="dxa" w:w="2592"/>
            <w:shd w:val="clear" w:fill="1B4D89"/>
          </w:tcPr>
          <w:p>
            <w:r/>
            <w:r>
              <w:rPr>
                <w:rFonts w:ascii="Arial" w:hAnsi="Arial"/>
                <w:b/>
                <w:color w:val="FFFFFF"/>
                <w:sz w:val="16"/>
              </w:rPr>
              <w:t>Responsible</w:t>
            </w:r>
          </w:p>
        </w:tc>
        <w:tc>
          <w:tcPr>
            <w:tcW w:type="dxa" w:w="3168"/>
            <w:shd w:val="clear" w:fill="1B4D89"/>
          </w:tcPr>
          <w:p>
            <w:r/>
            <w:r>
              <w:rPr>
                <w:rFonts w:ascii="Arial" w:hAnsi="Arial"/>
                <w:b/>
                <w:color w:val="FFFFFF"/>
                <w:sz w:val="16"/>
              </w:rPr>
              <w:t>Consulted</w:t>
            </w:r>
          </w:p>
        </w:tc>
      </w:tr>
      <w:tr>
        <w:tc>
          <w:tcPr>
            <w:tcW w:type="dxa" w:w="3168"/>
          </w:tcPr>
          <w:p>
            <w:r/>
            <w:r>
              <w:rPr>
                <w:rFonts w:ascii="Arial" w:hAnsi="Arial"/>
                <w:b w:val="0"/>
                <w:sz w:val="16"/>
              </w:rPr>
              <w:t>ESG strategy</w:t>
            </w:r>
          </w:p>
        </w:tc>
        <w:tc>
          <w:tcPr>
            <w:tcW w:type="dxa" w:w="2592"/>
          </w:tcPr>
          <w:p>
            <w:r/>
            <w:r>
              <w:rPr>
                <w:rFonts w:ascii="Arial" w:hAnsi="Arial"/>
                <w:b w:val="0"/>
                <w:sz w:val="16"/>
              </w:rPr>
              <w:t>Board</w:t>
            </w:r>
          </w:p>
        </w:tc>
        <w:tc>
          <w:tcPr>
            <w:tcW w:type="dxa" w:w="2592"/>
          </w:tcPr>
          <w:p>
            <w:r/>
            <w:r>
              <w:rPr>
                <w:rFonts w:ascii="Arial" w:hAnsi="Arial"/>
                <w:b w:val="0"/>
                <w:sz w:val="16"/>
              </w:rPr>
              <w:t>CSO</w:t>
            </w:r>
          </w:p>
        </w:tc>
        <w:tc>
          <w:tcPr>
            <w:tcW w:type="dxa" w:w="3168"/>
          </w:tcPr>
          <w:p>
            <w:r/>
            <w:r>
              <w:rPr>
                <w:rFonts w:ascii="Arial" w:hAnsi="Arial"/>
                <w:b w:val="0"/>
                <w:sz w:val="16"/>
              </w:rPr>
              <w:t>Executive</w:t>
            </w:r>
          </w:p>
        </w:tc>
      </w:tr>
      <w:tr>
        <w:tc>
          <w:tcPr>
            <w:tcW w:type="dxa" w:w="3168"/>
            <w:shd w:val="clear" w:fill="F4F7FB"/>
          </w:tcPr>
          <w:p>
            <w:r/>
            <w:r>
              <w:rPr>
                <w:rFonts w:ascii="Arial" w:hAnsi="Arial"/>
                <w:b w:val="0"/>
                <w:sz w:val="16"/>
              </w:rPr>
              <w:t>Climate &amp; targets</w:t>
            </w:r>
          </w:p>
        </w:tc>
        <w:tc>
          <w:tcPr>
            <w:tcW w:type="dxa" w:w="2592"/>
            <w:shd w:val="clear" w:fill="F4F7FB"/>
          </w:tcPr>
          <w:p>
            <w:r/>
            <w:r>
              <w:rPr>
                <w:rFonts w:ascii="Arial" w:hAnsi="Arial"/>
                <w:b w:val="0"/>
                <w:sz w:val="16"/>
              </w:rPr>
              <w:t>ESG Committee</w:t>
            </w:r>
          </w:p>
        </w:tc>
        <w:tc>
          <w:tcPr>
            <w:tcW w:type="dxa" w:w="2592"/>
            <w:shd w:val="clear" w:fill="F4F7FB"/>
          </w:tcPr>
          <w:p>
            <w:r/>
            <w:r>
              <w:rPr>
                <w:rFonts w:ascii="Arial" w:hAnsi="Arial"/>
                <w:b w:val="0"/>
                <w:sz w:val="16"/>
              </w:rPr>
              <w:t>CSO</w:t>
            </w:r>
          </w:p>
        </w:tc>
        <w:tc>
          <w:tcPr>
            <w:tcW w:type="dxa" w:w="3168"/>
            <w:shd w:val="clear" w:fill="F4F7FB"/>
          </w:tcPr>
          <w:p>
            <w:r/>
            <w:r>
              <w:rPr>
                <w:rFonts w:ascii="Arial" w:hAnsi="Arial"/>
                <w:b w:val="0"/>
                <w:sz w:val="16"/>
              </w:rPr>
              <w:t>Operations</w:t>
            </w:r>
          </w:p>
        </w:tc>
      </w:tr>
      <w:tr>
        <w:tc>
          <w:tcPr>
            <w:tcW w:type="dxa" w:w="3168"/>
          </w:tcPr>
          <w:p>
            <w:r/>
            <w:r>
              <w:rPr>
                <w:rFonts w:ascii="Arial" w:hAnsi="Arial"/>
                <w:b w:val="0"/>
                <w:sz w:val="16"/>
              </w:rPr>
              <w:t>ESG disclosure</w:t>
            </w:r>
          </w:p>
        </w:tc>
        <w:tc>
          <w:tcPr>
            <w:tcW w:type="dxa" w:w="2592"/>
          </w:tcPr>
          <w:p>
            <w:r/>
            <w:r>
              <w:rPr>
                <w:rFonts w:ascii="Arial" w:hAnsi="Arial"/>
                <w:b w:val="0"/>
                <w:sz w:val="16"/>
              </w:rPr>
              <w:t>Board</w:t>
            </w:r>
          </w:p>
        </w:tc>
        <w:tc>
          <w:tcPr>
            <w:tcW w:type="dxa" w:w="2592"/>
          </w:tcPr>
          <w:p>
            <w:r/>
            <w:r>
              <w:rPr>
                <w:rFonts w:ascii="Arial" w:hAnsi="Arial"/>
                <w:b w:val="0"/>
                <w:sz w:val="16"/>
              </w:rPr>
              <w:t>CSO/CFO</w:t>
            </w:r>
          </w:p>
        </w:tc>
        <w:tc>
          <w:tcPr>
            <w:tcW w:type="dxa" w:w="3168"/>
          </w:tcPr>
          <w:p>
            <w:r/>
            <w:r>
              <w:rPr>
                <w:rFonts w:ascii="Arial" w:hAnsi="Arial"/>
                <w:b w:val="0"/>
                <w:sz w:val="16"/>
              </w:rPr>
              <w:t>Assurance</w:t>
            </w:r>
          </w:p>
        </w:tc>
      </w:tr>
      <w:tr>
        <w:tc>
          <w:tcPr>
            <w:tcW w:type="dxa" w:w="3168"/>
            <w:shd w:val="clear" w:fill="F4F7FB"/>
          </w:tcPr>
          <w:p>
            <w:r/>
            <w:r>
              <w:rPr>
                <w:rFonts w:ascii="Arial" w:hAnsi="Arial"/>
                <w:b w:val="0"/>
                <w:sz w:val="16"/>
              </w:rPr>
              <w:t>ESG risk</w:t>
            </w:r>
          </w:p>
        </w:tc>
        <w:tc>
          <w:tcPr>
            <w:tcW w:type="dxa" w:w="2592"/>
            <w:shd w:val="clear" w:fill="F4F7FB"/>
          </w:tcPr>
          <w:p>
            <w:r/>
            <w:r>
              <w:rPr>
                <w:rFonts w:ascii="Arial" w:hAnsi="Arial"/>
                <w:b w:val="0"/>
                <w:sz w:val="16"/>
              </w:rPr>
              <w:t>ESG Committee</w:t>
            </w:r>
          </w:p>
        </w:tc>
        <w:tc>
          <w:tcPr>
            <w:tcW w:type="dxa" w:w="2592"/>
            <w:shd w:val="clear" w:fill="F4F7FB"/>
          </w:tcPr>
          <w:p>
            <w:r/>
            <w:r>
              <w:rPr>
                <w:rFonts w:ascii="Arial" w:hAnsi="Arial"/>
                <w:b w:val="0"/>
                <w:sz w:val="16"/>
              </w:rPr>
              <w:t>CRO/CSO</w:t>
            </w:r>
          </w:p>
        </w:tc>
        <w:tc>
          <w:tcPr>
            <w:tcW w:type="dxa" w:w="3168"/>
            <w:shd w:val="clear" w:fill="F4F7FB"/>
          </w:tcPr>
          <w:p>
            <w:r/>
            <w:r>
              <w:rPr>
                <w:rFonts w:ascii="Arial" w:hAnsi="Arial"/>
                <w:b w:val="0"/>
                <w:sz w:val="16"/>
              </w:rPr>
              <w:t>Risk function</w:t>
            </w:r>
          </w:p>
        </w:tc>
      </w:tr>
    </w:tbl>
    <w:p>
      <w:pPr>
        <w:pStyle w:val="Heading1"/>
      </w:pPr>
      <w:r>
        <w:t>4. Policies &amp; Integration</w:t>
      </w:r>
    </w:p>
    <w:p>
      <w:pPr>
        <w:pStyle w:val="ListBullet"/>
      </w:pPr>
      <w:r>
        <w:rPr>
          <w:sz w:val="19"/>
        </w:rPr>
        <w:t>ESG policy and supporting policies approved and current.</w:t>
      </w:r>
    </w:p>
    <w:p>
      <w:pPr>
        <w:pStyle w:val="ListBullet"/>
      </w:pPr>
      <w:r>
        <w:rPr>
          <w:sz w:val="19"/>
        </w:rPr>
        <w:t>ESG integrated into strategy, risk and planning.</w:t>
      </w:r>
    </w:p>
    <w:p>
      <w:pPr>
        <w:pStyle w:val="ListBullet"/>
      </w:pPr>
      <w:r>
        <w:rPr>
          <w:sz w:val="19"/>
        </w:rPr>
        <w:t>ESG embedded in decisions and (where relevant) incentives.</w:t>
      </w:r>
    </w:p>
    <w:p>
      <w:pPr>
        <w:pStyle w:val="ListBullet"/>
      </w:pPr>
      <w:r>
        <w:rPr>
          <w:sz w:val="19"/>
        </w:rPr>
        <w:t>ESG data governed and assured.</w:t>
      </w:r>
    </w:p>
    <w:p>
      <w:pPr>
        <w:pStyle w:val="Heading1"/>
      </w:pPr>
      <w:r>
        <w:t>5. Reporting Cadence</w:t>
      </w:r>
    </w:p>
    <w:tbl>
      <w:tblPr>
        <w:tblStyle w:val="TableGrid"/>
        <w:tblW w:type="auto" w:w="0"/>
        <w:jc w:val="center"/>
        <w:tblLook w:firstColumn="1" w:firstRow="1" w:lastColumn="0" w:lastRow="0" w:noHBand="0" w:noVBand="1" w:val="04A0"/>
      </w:tblPr>
      <w:tblGrid>
        <w:gridCol w:w="3264"/>
        <w:gridCol w:w="3264"/>
        <w:gridCol w:w="3264"/>
      </w:tblGrid>
      <w:tr>
        <w:tc>
          <w:tcPr>
            <w:tcW w:type="dxa" w:w="3456"/>
            <w:shd w:val="clear" w:fill="1B4D89"/>
          </w:tcPr>
          <w:p>
            <w:r/>
            <w:r>
              <w:rPr>
                <w:rFonts w:ascii="Arial" w:hAnsi="Arial"/>
                <w:b/>
                <w:color w:val="FFFFFF"/>
                <w:sz w:val="16"/>
              </w:rPr>
              <w:t>Forum</w:t>
            </w:r>
          </w:p>
        </w:tc>
        <w:tc>
          <w:tcPr>
            <w:tcW w:type="dxa" w:w="2304"/>
            <w:shd w:val="clear" w:fill="1B4D89"/>
          </w:tcPr>
          <w:p>
            <w:r/>
            <w:r>
              <w:rPr>
                <w:rFonts w:ascii="Arial" w:hAnsi="Arial"/>
                <w:b/>
                <w:color w:val="FFFFFF"/>
                <w:sz w:val="16"/>
              </w:rPr>
              <w:t>Cadence</w:t>
            </w:r>
          </w:p>
        </w:tc>
        <w:tc>
          <w:tcPr>
            <w:tcW w:type="dxa" w:w="5760"/>
            <w:shd w:val="clear" w:fill="1B4D89"/>
          </w:tcPr>
          <w:p>
            <w:r/>
            <w:r>
              <w:rPr>
                <w:rFonts w:ascii="Arial" w:hAnsi="Arial"/>
                <w:b/>
                <w:color w:val="FFFFFF"/>
                <w:sz w:val="16"/>
              </w:rPr>
              <w:t>Focus</w:t>
            </w:r>
          </w:p>
        </w:tc>
      </w:tr>
      <w:tr>
        <w:tc>
          <w:tcPr>
            <w:tcW w:type="dxa" w:w="3456"/>
          </w:tcPr>
          <w:p>
            <w:r/>
            <w:r>
              <w:rPr>
                <w:rFonts w:ascii="Arial" w:hAnsi="Arial"/>
                <w:b w:val="0"/>
                <w:sz w:val="16"/>
              </w:rPr>
              <w:t>Board</w:t>
            </w:r>
          </w:p>
        </w:tc>
        <w:tc>
          <w:tcPr>
            <w:tcW w:type="dxa" w:w="2304"/>
          </w:tcPr>
          <w:p>
            <w:r/>
            <w:r>
              <w:rPr>
                <w:rFonts w:ascii="Arial" w:hAnsi="Arial"/>
                <w:b w:val="0"/>
                <w:sz w:val="16"/>
              </w:rPr>
              <w:t>[Quarterly]</w:t>
            </w:r>
          </w:p>
        </w:tc>
        <w:tc>
          <w:tcPr>
            <w:tcW w:type="dxa" w:w="5760"/>
          </w:tcPr>
          <w:p>
            <w:r/>
            <w:r>
              <w:rPr>
                <w:rFonts w:ascii="Arial" w:hAnsi="Arial"/>
                <w:b w:val="0"/>
                <w:sz w:val="16"/>
              </w:rPr>
              <w:t>Strategy, risk, disclosure</w:t>
            </w:r>
          </w:p>
        </w:tc>
      </w:tr>
      <w:tr>
        <w:tc>
          <w:tcPr>
            <w:tcW w:type="dxa" w:w="3456"/>
            <w:shd w:val="clear" w:fill="F4F7FB"/>
          </w:tcPr>
          <w:p>
            <w:r/>
            <w:r>
              <w:rPr>
                <w:rFonts w:ascii="Arial" w:hAnsi="Arial"/>
                <w:b w:val="0"/>
                <w:sz w:val="16"/>
              </w:rPr>
              <w:t>ESG Committee</w:t>
            </w:r>
          </w:p>
        </w:tc>
        <w:tc>
          <w:tcPr>
            <w:tcW w:type="dxa" w:w="2304"/>
            <w:shd w:val="clear" w:fill="F4F7FB"/>
          </w:tcPr>
          <w:p>
            <w:r/>
            <w:r>
              <w:rPr>
                <w:rFonts w:ascii="Arial" w:hAnsi="Arial"/>
                <w:b w:val="0"/>
                <w:sz w:val="16"/>
              </w:rPr>
              <w:t>[Quarterly]</w:t>
            </w:r>
          </w:p>
        </w:tc>
        <w:tc>
          <w:tcPr>
            <w:tcW w:type="dxa" w:w="5760"/>
            <w:shd w:val="clear" w:fill="F4F7FB"/>
          </w:tcPr>
          <w:p>
            <w:r/>
            <w:r>
              <w:rPr>
                <w:rFonts w:ascii="Arial" w:hAnsi="Arial"/>
                <w:b w:val="0"/>
                <w:sz w:val="16"/>
              </w:rPr>
              <w:t>Performance and oversight</w:t>
            </w:r>
          </w:p>
        </w:tc>
      </w:tr>
      <w:tr>
        <w:tc>
          <w:tcPr>
            <w:tcW w:type="dxa" w:w="3456"/>
          </w:tcPr>
          <w:p>
            <w:r/>
            <w:r>
              <w:rPr>
                <w:rFonts w:ascii="Arial" w:hAnsi="Arial"/>
                <w:b w:val="0"/>
                <w:sz w:val="16"/>
              </w:rPr>
              <w:t>Management ESG forum</w:t>
            </w:r>
          </w:p>
        </w:tc>
        <w:tc>
          <w:tcPr>
            <w:tcW w:type="dxa" w:w="2304"/>
          </w:tcPr>
          <w:p>
            <w:r/>
            <w:r>
              <w:rPr>
                <w:rFonts w:ascii="Arial" w:hAnsi="Arial"/>
                <w:b w:val="0"/>
                <w:sz w:val="16"/>
              </w:rPr>
              <w:t>[Monthly]</w:t>
            </w:r>
          </w:p>
        </w:tc>
        <w:tc>
          <w:tcPr>
            <w:tcW w:type="dxa" w:w="5760"/>
          </w:tcPr>
          <w:p>
            <w:r/>
            <w:r>
              <w:rPr>
                <w:rFonts w:ascii="Arial" w:hAnsi="Arial"/>
                <w:b w:val="0"/>
                <w:sz w:val="16"/>
              </w:rPr>
              <w:t>Delivery and data</w:t>
            </w:r>
          </w:p>
        </w:tc>
      </w:tr>
    </w:tbl>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