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ESG &amp; SUSTAINABILITY CENTRE™</w:t>
      </w:r>
    </w:p>
    <w:p>
      <w:pPr>
        <w:jc w:val="center"/>
      </w:pPr>
      <w:r>
        <w:rPr>
          <w:b/>
          <w:color w:val="10243F"/>
          <w:sz w:val="46"/>
        </w:rPr>
        <w:t>Social &amp; Human Rights Toolkit™</w:t>
      </w:r>
    </w:p>
    <w:p>
      <w:pPr>
        <w:jc w:val="center"/>
      </w:pPr>
      <w:r>
        <w:rPr>
          <w:color w:val="C97B2C"/>
          <w:sz w:val="26"/>
        </w:rPr>
        <w:t>Manage social impact, human capital and human rights</w:t>
      </w:r>
    </w:p>
    <w:p/>
    <w:p/>
    <w:p>
      <w:pPr>
        <w:jc w:val="center"/>
      </w:pPr>
      <w:r>
        <w:rPr>
          <w:color w:val="555555"/>
          <w:sz w:val="20"/>
        </w:rPr>
        <w:t>HR / Sustainability / Procurement  ·  Flagship Edition 2026</w:t>
      </w:r>
    </w:p>
    <w:p>
      <w:pPr>
        <w:jc w:val="center"/>
      </w:pPr>
      <w:r>
        <w:rPr>
          <w:i/>
          <w:color w:val="555555"/>
          <w:sz w:val="18"/>
        </w:rPr>
        <w:t>Outliers Professionals Ltd — ESG &amp; Sustainability Centre Resource Library</w:t>
      </w:r>
    </w:p>
    <w:p>
      <w:r>
        <w:br w:type="page"/>
      </w:r>
    </w:p>
    <w:p>
      <w:pPr>
        <w:pStyle w:val="Heading1"/>
      </w:pPr>
      <w:r>
        <w:t>1. Executive Overview</w:t>
      </w:r>
    </w:p>
    <w:p>
      <w:r>
        <w:rPr>
          <w:b w:val="0"/>
          <w:i w:val="0"/>
          <w:sz w:val="20"/>
        </w:rPr>
        <w:t>This toolkit helps you manage social impact, human capital and human rights — health &amp; safety, DEI, labour, human-rights due diligence and supplier ESG — drawing on the UN Guiding Principles and ISO 26000.</w:t>
      </w:r>
    </w:p>
    <w:p>
      <w:r>
        <w:rPr>
          <w:b w:val="0"/>
          <w:i w:val="0"/>
          <w:sz w:val="19"/>
        </w:rPr>
        <w:t>This toolkit is part of the Outliers ESG &amp; Sustainability Centre™ and is anchored to GRI, ISSB, TCFD and the GHG Protocol (by name). It gives boards, sustainability teams and assurance providers an applied, end-to-end kit to set, deliver, measure and disclose ESG performance in this domain.</w:t>
      </w:r>
    </w:p>
    <w:p>
      <w:pPr>
        <w:pStyle w:val="Heading1"/>
      </w:pPr>
      <w:r>
        <w:t>2. Objectives</w:t>
      </w:r>
    </w:p>
    <w:p>
      <w:r>
        <w:rPr>
          <w:b w:val="0"/>
          <w:i w:val="0"/>
          <w:sz w:val="20"/>
        </w:rPr>
        <w:t>The outcomes this toolkit helps you achieve:</w:t>
      </w:r>
    </w:p>
    <w:p>
      <w:pPr>
        <w:pStyle w:val="ListBullet"/>
      </w:pPr>
      <w:r>
        <w:rPr>
          <w:sz w:val="19"/>
        </w:rPr>
        <w:t>Manage health, safety and wellbeing</w:t>
      </w:r>
    </w:p>
    <w:p>
      <w:pPr>
        <w:pStyle w:val="ListBullet"/>
      </w:pPr>
      <w:r>
        <w:rPr>
          <w:sz w:val="19"/>
        </w:rPr>
        <w:t>Advance diversity, equity and inclusion</w:t>
      </w:r>
    </w:p>
    <w:p>
      <w:pPr>
        <w:pStyle w:val="ListBullet"/>
      </w:pPr>
      <w:r>
        <w:rPr>
          <w:sz w:val="19"/>
        </w:rPr>
        <w:t>Respect labour and human rights</w:t>
      </w:r>
    </w:p>
    <w:p>
      <w:pPr>
        <w:pStyle w:val="ListBullet"/>
      </w:pPr>
      <w:r>
        <w:rPr>
          <w:sz w:val="19"/>
        </w:rPr>
        <w:t>Perform human-rights due diligence</w:t>
      </w:r>
    </w:p>
    <w:p>
      <w:pPr>
        <w:pStyle w:val="ListBullet"/>
      </w:pPr>
      <w:r>
        <w:rPr>
          <w:sz w:val="19"/>
        </w:rPr>
        <w:t>Manage ESG in the supply chain</w:t>
      </w:r>
    </w:p>
    <w:p>
      <w:pPr>
        <w:pStyle w:val="Heading1"/>
      </w:pPr>
      <w:r>
        <w:t>3. Governance</w:t>
      </w:r>
    </w:p>
    <w:p>
      <w:r>
        <w:rPr>
          <w:b w:val="0"/>
          <w:i w:val="0"/>
          <w:sz w:val="20"/>
        </w:rPr>
        <w:t>Social and human-rights performance is owned by HR, sustainability and procurement, overseen by the board / ESG committee:</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Layer</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 ESG Committee</w:t>
            </w:r>
          </w:p>
        </w:tc>
        <w:tc>
          <w:tcPr>
            <w:tcW w:type="dxa" w:w="8208"/>
          </w:tcPr>
          <w:p>
            <w:r/>
            <w:r>
              <w:rPr>
                <w:rFonts w:ascii="Arial" w:hAnsi="Arial"/>
                <w:b w:val="0"/>
                <w:sz w:val="16"/>
              </w:rPr>
              <w:t>Oversees ESG strategy, risk and disclosure</w:t>
            </w:r>
          </w:p>
        </w:tc>
      </w:tr>
      <w:tr>
        <w:tc>
          <w:tcPr>
            <w:tcW w:type="dxa" w:w="3312"/>
            <w:shd w:val="clear" w:fill="F4F7FB"/>
          </w:tcPr>
          <w:p>
            <w:r/>
            <w:r>
              <w:rPr>
                <w:rFonts w:ascii="Arial" w:hAnsi="Arial"/>
                <w:b w:val="0"/>
                <w:sz w:val="16"/>
              </w:rPr>
              <w:t>Executive / CSO</w:t>
            </w:r>
          </w:p>
        </w:tc>
        <w:tc>
          <w:tcPr>
            <w:tcW w:type="dxa" w:w="8208"/>
            <w:shd w:val="clear" w:fill="F4F7FB"/>
          </w:tcPr>
          <w:p>
            <w:r/>
            <w:r>
              <w:rPr>
                <w:rFonts w:ascii="Arial" w:hAnsi="Arial"/>
                <w:b w:val="0"/>
                <w:sz w:val="16"/>
              </w:rPr>
              <w:t>Owns ESG and the operating model</w:t>
            </w:r>
          </w:p>
        </w:tc>
      </w:tr>
      <w:tr>
        <w:tc>
          <w:tcPr>
            <w:tcW w:type="dxa" w:w="3312"/>
          </w:tcPr>
          <w:p>
            <w:r/>
            <w:r>
              <w:rPr>
                <w:rFonts w:ascii="Arial" w:hAnsi="Arial"/>
                <w:b w:val="0"/>
                <w:sz w:val="16"/>
              </w:rPr>
              <w:t>Sustainability function</w:t>
            </w:r>
          </w:p>
        </w:tc>
        <w:tc>
          <w:tcPr>
            <w:tcW w:type="dxa" w:w="8208"/>
          </w:tcPr>
          <w:p>
            <w:r/>
            <w:r>
              <w:rPr>
                <w:rFonts w:ascii="Arial" w:hAnsi="Arial"/>
                <w:b w:val="0"/>
                <w:sz w:val="16"/>
              </w:rPr>
              <w:t>Runs ESG programmes and reporting</w:t>
            </w:r>
          </w:p>
        </w:tc>
      </w:tr>
      <w:tr>
        <w:tc>
          <w:tcPr>
            <w:tcW w:type="dxa" w:w="3312"/>
            <w:shd w:val="clear" w:fill="F4F7FB"/>
          </w:tcPr>
          <w:p>
            <w:r/>
            <w:r>
              <w:rPr>
                <w:rFonts w:ascii="Arial" w:hAnsi="Arial"/>
                <w:b w:val="0"/>
                <w:sz w:val="16"/>
              </w:rPr>
              <w:t>Business &amp; functions</w:t>
            </w:r>
          </w:p>
        </w:tc>
        <w:tc>
          <w:tcPr>
            <w:tcW w:type="dxa" w:w="8208"/>
            <w:shd w:val="clear" w:fill="F4F7FB"/>
          </w:tcPr>
          <w:p>
            <w:r/>
            <w:r>
              <w:rPr>
                <w:rFonts w:ascii="Arial" w:hAnsi="Arial"/>
                <w:b w:val="0"/>
                <w:sz w:val="16"/>
              </w:rPr>
              <w:t>Deliver ESG in operations</w:t>
            </w:r>
          </w:p>
        </w:tc>
      </w:tr>
      <w:tr>
        <w:tc>
          <w:tcPr>
            <w:tcW w:type="dxa" w:w="3312"/>
          </w:tcPr>
          <w:p>
            <w:r/>
            <w:r>
              <w:rPr>
                <w:rFonts w:ascii="Arial" w:hAnsi="Arial"/>
                <w:b w:val="0"/>
                <w:sz w:val="16"/>
              </w:rPr>
              <w:t>Assurance / internal audit</w:t>
            </w:r>
          </w:p>
        </w:tc>
        <w:tc>
          <w:tcPr>
            <w:tcW w:type="dxa" w:w="8208"/>
          </w:tcPr>
          <w:p>
            <w:r/>
            <w:r>
              <w:rPr>
                <w:rFonts w:ascii="Arial" w:hAnsi="Arial"/>
                <w:b w:val="0"/>
                <w:sz w:val="16"/>
              </w:rPr>
              <w:t>Provides assurance over ESG</w:t>
            </w:r>
          </w:p>
        </w:tc>
      </w:tr>
    </w:tbl>
    <w:p>
      <w:pPr>
        <w:pStyle w:val="Heading1"/>
      </w:pPr>
      <w:r>
        <w:t>4. Control / Management Framework</w:t>
      </w:r>
    </w:p>
    <w:p>
      <w:r>
        <w:rPr>
          <w:b w:val="0"/>
          <w:i w:val="0"/>
          <w:sz w:val="20"/>
        </w:rPr>
        <w:t>The framework manages social impact, human capital and human rights — health &amp; safety, DEI, labour, human-rights due diligence and supplier ESG — drawing on the UN Guiding Principles, the UN Global Compact and ISO 26000 by name.</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Ad hoc / reactive</w:t>
            </w:r>
          </w:p>
        </w:tc>
        <w:tc>
          <w:tcPr>
            <w:tcW w:type="dxa" w:w="2232"/>
          </w:tcPr>
          <w:p>
            <w:r/>
            <w:r>
              <w:rPr>
                <w:rFonts w:ascii="Arial" w:hAnsi="Arial"/>
                <w:b w:val="0"/>
                <w:sz w:val="16"/>
              </w:rPr>
              <w:t>Basic, unstandardised</w:t>
            </w:r>
          </w:p>
        </w:tc>
        <w:tc>
          <w:tcPr>
            <w:tcW w:type="dxa" w:w="2232"/>
          </w:tcPr>
          <w:p>
            <w:r/>
            <w:r>
              <w:rPr>
                <w:rFonts w:ascii="Arial" w:hAnsi="Arial"/>
                <w:b w:val="0"/>
                <w:sz w:val="16"/>
              </w:rPr>
              <w:t>Structured &amp; governed</w:t>
            </w:r>
          </w:p>
        </w:tc>
        <w:tc>
          <w:tcPr>
            <w:tcW w:type="dxa" w:w="2232"/>
          </w:tcPr>
          <w:p>
            <w:r/>
            <w:r>
              <w:rPr>
                <w:rFonts w:ascii="Arial" w:hAnsi="Arial"/>
                <w:b w:val="0"/>
                <w:sz w:val="16"/>
              </w:rPr>
              <w:t>Measured &amp; assured</w:t>
            </w:r>
          </w:p>
        </w:tc>
        <w:tc>
          <w:tcPr>
            <w:tcW w:type="dxa" w:w="2232"/>
          </w:tcPr>
          <w:p>
            <w:r/>
            <w:r>
              <w:rPr>
                <w:rFonts w:ascii="Arial" w:hAnsi="Arial"/>
                <w:b w:val="0"/>
                <w:sz w:val="16"/>
              </w:rPr>
              <w:t>Strategic &amp; value-creating</w:t>
            </w:r>
          </w:p>
        </w:tc>
      </w:tr>
    </w:tbl>
    <w:p>
      <w:pPr>
        <w:pStyle w:val="Heading1"/>
      </w:pPr>
      <w:r>
        <w:t>5. Roles &amp; Responsibilities</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7"/>
              </w:rPr>
              <w:t>Role</w:t>
            </w:r>
          </w:p>
        </w:tc>
        <w:tc>
          <w:tcPr>
            <w:tcW w:type="dxa" w:w="8064"/>
            <w:shd w:val="clear" w:fill="1B4D89"/>
          </w:tcPr>
          <w:p>
            <w:r/>
            <w:r>
              <w:rPr>
                <w:rFonts w:ascii="Arial" w:hAnsi="Arial"/>
                <w:b/>
                <w:color w:val="FFFFFF"/>
                <w:sz w:val="17"/>
              </w:rPr>
              <w:t>Responsibility</w:t>
            </w:r>
          </w:p>
        </w:tc>
      </w:tr>
      <w:tr>
        <w:tc>
          <w:tcPr>
            <w:tcW w:type="dxa" w:w="3456"/>
          </w:tcPr>
          <w:p>
            <w:r/>
            <w:r>
              <w:rPr>
                <w:rFonts w:ascii="Arial" w:hAnsi="Arial"/>
                <w:b w:val="0"/>
                <w:sz w:val="17"/>
              </w:rPr>
              <w:t>HR</w:t>
            </w:r>
          </w:p>
        </w:tc>
        <w:tc>
          <w:tcPr>
            <w:tcW w:type="dxa" w:w="8064"/>
          </w:tcPr>
          <w:p>
            <w:r/>
            <w:r>
              <w:rPr>
                <w:rFonts w:ascii="Arial" w:hAnsi="Arial"/>
                <w:b w:val="0"/>
                <w:sz w:val="17"/>
              </w:rPr>
              <w:t>Own human capital and DEI</w:t>
            </w:r>
          </w:p>
        </w:tc>
      </w:tr>
      <w:tr>
        <w:tc>
          <w:tcPr>
            <w:tcW w:type="dxa" w:w="3456"/>
            <w:shd w:val="clear" w:fill="F4F7FB"/>
          </w:tcPr>
          <w:p>
            <w:r/>
            <w:r>
              <w:rPr>
                <w:rFonts w:ascii="Arial" w:hAnsi="Arial"/>
                <w:b w:val="0"/>
                <w:sz w:val="17"/>
              </w:rPr>
              <w:t>Sustainability</w:t>
            </w:r>
          </w:p>
        </w:tc>
        <w:tc>
          <w:tcPr>
            <w:tcW w:type="dxa" w:w="8064"/>
            <w:shd w:val="clear" w:fill="F4F7FB"/>
          </w:tcPr>
          <w:p>
            <w:r/>
            <w:r>
              <w:rPr>
                <w:rFonts w:ascii="Arial" w:hAnsi="Arial"/>
                <w:b w:val="0"/>
                <w:sz w:val="17"/>
              </w:rPr>
              <w:t>Own human rights and supplier ESG</w:t>
            </w:r>
          </w:p>
        </w:tc>
      </w:tr>
      <w:tr>
        <w:tc>
          <w:tcPr>
            <w:tcW w:type="dxa" w:w="3456"/>
          </w:tcPr>
          <w:p>
            <w:r/>
            <w:r>
              <w:rPr>
                <w:rFonts w:ascii="Arial" w:hAnsi="Arial"/>
                <w:b w:val="0"/>
                <w:sz w:val="17"/>
              </w:rPr>
              <w:t>Procurement</w:t>
            </w:r>
          </w:p>
        </w:tc>
        <w:tc>
          <w:tcPr>
            <w:tcW w:type="dxa" w:w="8064"/>
          </w:tcPr>
          <w:p>
            <w:r/>
            <w:r>
              <w:rPr>
                <w:rFonts w:ascii="Arial" w:hAnsi="Arial"/>
                <w:b w:val="0"/>
                <w:sz w:val="17"/>
              </w:rPr>
              <w:t>Operate supplier ESG</w:t>
            </w:r>
          </w:p>
        </w:tc>
      </w:tr>
      <w:tr>
        <w:tc>
          <w:tcPr>
            <w:tcW w:type="dxa" w:w="3456"/>
            <w:shd w:val="clear" w:fill="F4F7FB"/>
          </w:tcPr>
          <w:p>
            <w:r/>
            <w:r>
              <w:rPr>
                <w:rFonts w:ascii="Arial" w:hAnsi="Arial"/>
                <w:b w:val="0"/>
                <w:sz w:val="17"/>
              </w:rPr>
              <w:t>EHS</w:t>
            </w:r>
          </w:p>
        </w:tc>
        <w:tc>
          <w:tcPr>
            <w:tcW w:type="dxa" w:w="8064"/>
            <w:shd w:val="clear" w:fill="F4F7FB"/>
          </w:tcPr>
          <w:p>
            <w:r/>
            <w:r>
              <w:rPr>
                <w:rFonts w:ascii="Arial" w:hAnsi="Arial"/>
                <w:b w:val="0"/>
                <w:sz w:val="17"/>
              </w:rPr>
              <w:t>Own health &amp; safety</w:t>
            </w:r>
          </w:p>
        </w:tc>
      </w:tr>
      <w:tr>
        <w:tc>
          <w:tcPr>
            <w:tcW w:type="dxa" w:w="3456"/>
          </w:tcPr>
          <w:p>
            <w:r/>
            <w:r>
              <w:rPr>
                <w:rFonts w:ascii="Arial" w:hAnsi="Arial"/>
                <w:b w:val="0"/>
                <w:sz w:val="17"/>
              </w:rPr>
              <w:t>Board / ESG Committee</w:t>
            </w:r>
          </w:p>
        </w:tc>
        <w:tc>
          <w:tcPr>
            <w:tcW w:type="dxa" w:w="8064"/>
          </w:tcPr>
          <w:p>
            <w:r/>
            <w:r>
              <w:rPr>
                <w:rFonts w:ascii="Arial" w:hAnsi="Arial"/>
                <w:b w:val="0"/>
                <w:sz w:val="17"/>
              </w:rPr>
              <w:t>Oversee social performance</w:t>
            </w:r>
          </w:p>
        </w:tc>
      </w:tr>
    </w:tbl>
    <w:p>
      <w:pPr>
        <w:pStyle w:val="Heading1"/>
      </w:pPr>
      <w:r>
        <w:t>6. Risk-Control / Topic Matrix (sample)</w:t>
      </w:r>
    </w:p>
    <w:p>
      <w:r>
        <w:rPr>
          <w:b w:val="0"/>
          <w:i/>
          <w:sz w:val="19"/>
        </w:rPr>
        <w:t>Illustrative matrix of ESG topics/risks and the management responses. Full working versions ship as editable XLSX with owners, scores, targets and RAG.</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864"/>
            <w:shd w:val="clear" w:fill="1B4D89"/>
          </w:tcPr>
          <w:p>
            <w:r/>
            <w:r>
              <w:rPr>
                <w:rFonts w:ascii="Arial" w:hAnsi="Arial"/>
                <w:b/>
                <w:color w:val="FFFFFF"/>
                <w:sz w:val="16"/>
              </w:rPr>
              <w:t>Ref</w:t>
            </w:r>
          </w:p>
        </w:tc>
        <w:tc>
          <w:tcPr>
            <w:tcW w:type="dxa" w:w="2880"/>
            <w:shd w:val="clear" w:fill="1B4D89"/>
          </w:tcPr>
          <w:p>
            <w:r/>
            <w:r>
              <w:rPr>
                <w:rFonts w:ascii="Arial" w:hAnsi="Arial"/>
                <w:b/>
                <w:color w:val="FFFFFF"/>
                <w:sz w:val="16"/>
              </w:rPr>
              <w:t>Topic / Risk</w:t>
            </w:r>
          </w:p>
        </w:tc>
        <w:tc>
          <w:tcPr>
            <w:tcW w:type="dxa" w:w="3744"/>
            <w:shd w:val="clear" w:fill="1B4D89"/>
          </w:tcPr>
          <w:p>
            <w:r/>
            <w:r>
              <w:rPr>
                <w:rFonts w:ascii="Arial" w:hAnsi="Arial"/>
                <w:b/>
                <w:color w:val="FFFFFF"/>
                <w:sz w:val="16"/>
              </w:rPr>
              <w:t>Management Response</w:t>
            </w:r>
          </w:p>
        </w:tc>
        <w:tc>
          <w:tcPr>
            <w:tcW w:type="dxa" w:w="1728"/>
            <w:shd w:val="clear" w:fill="1B4D89"/>
          </w:tcPr>
          <w:p>
            <w:r/>
            <w:r>
              <w:rPr>
                <w:rFonts w:ascii="Arial" w:hAnsi="Arial"/>
                <w:b/>
                <w:color w:val="FFFFFF"/>
                <w:sz w:val="16"/>
              </w:rPr>
              <w:t>Owner</w:t>
            </w:r>
          </w:p>
        </w:tc>
        <w:tc>
          <w:tcPr>
            <w:tcW w:type="dxa" w:w="1296"/>
            <w:shd w:val="clear" w:fill="1B4D89"/>
          </w:tcPr>
          <w:p>
            <w:r/>
            <w:r>
              <w:rPr>
                <w:rFonts w:ascii="Arial" w:hAnsi="Arial"/>
                <w:b/>
                <w:color w:val="FFFFFF"/>
                <w:sz w:val="16"/>
              </w:rPr>
              <w:t>Freq</w:t>
            </w:r>
          </w:p>
        </w:tc>
        <w:tc>
          <w:tcPr>
            <w:tcW w:type="dxa" w:w="1296"/>
            <w:shd w:val="clear" w:fill="1B4D89"/>
          </w:tcPr>
          <w:p>
            <w:r/>
            <w:r>
              <w:rPr>
                <w:rFonts w:ascii="Arial" w:hAnsi="Arial"/>
                <w:b/>
                <w:color w:val="FFFFFF"/>
                <w:sz w:val="16"/>
              </w:rPr>
              <w:t>Type</w:t>
            </w:r>
          </w:p>
        </w:tc>
      </w:tr>
      <w:tr>
        <w:tc>
          <w:tcPr>
            <w:tcW w:type="dxa" w:w="864"/>
          </w:tcPr>
          <w:p>
            <w:r/>
            <w:r>
              <w:rPr>
                <w:rFonts w:ascii="Arial" w:hAnsi="Arial"/>
                <w:b w:val="0"/>
                <w:sz w:val="16"/>
              </w:rPr>
              <w:t>S-01</w:t>
            </w:r>
          </w:p>
        </w:tc>
        <w:tc>
          <w:tcPr>
            <w:tcW w:type="dxa" w:w="2880"/>
          </w:tcPr>
          <w:p>
            <w:r/>
            <w:r>
              <w:rPr>
                <w:rFonts w:ascii="Arial" w:hAnsi="Arial"/>
                <w:b w:val="0"/>
                <w:sz w:val="16"/>
              </w:rPr>
              <w:t>Health &amp; safety</w:t>
            </w:r>
          </w:p>
        </w:tc>
        <w:tc>
          <w:tcPr>
            <w:tcW w:type="dxa" w:w="3744"/>
          </w:tcPr>
          <w:p>
            <w:r/>
            <w:r>
              <w:rPr>
                <w:rFonts w:ascii="Arial" w:hAnsi="Arial"/>
                <w:b w:val="0"/>
                <w:sz w:val="16"/>
              </w:rPr>
              <w:t>Management system and controls</w:t>
            </w:r>
          </w:p>
        </w:tc>
        <w:tc>
          <w:tcPr>
            <w:tcW w:type="dxa" w:w="1728"/>
          </w:tcPr>
          <w:p>
            <w:r/>
            <w:r>
              <w:rPr>
                <w:rFonts w:ascii="Arial" w:hAnsi="Arial"/>
                <w:b w:val="0"/>
                <w:sz w:val="16"/>
              </w:rPr>
              <w:t>EHS</w:t>
            </w:r>
          </w:p>
        </w:tc>
        <w:tc>
          <w:tcPr>
            <w:tcW w:type="dxa" w:w="1296"/>
          </w:tcPr>
          <w:p>
            <w:r/>
            <w:r>
              <w:rPr>
                <w:rFonts w:ascii="Arial" w:hAnsi="Arial"/>
                <w:b w:val="0"/>
                <w:sz w:val="16"/>
              </w:rPr>
              <w:t>Ongoing</w:t>
            </w:r>
          </w:p>
        </w:tc>
        <w:tc>
          <w:tcPr>
            <w:tcW w:type="dxa" w:w="1296"/>
          </w:tcPr>
          <w:p>
            <w:r/>
            <w:r>
              <w:rPr>
                <w:rFonts w:ascii="Arial" w:hAnsi="Arial"/>
                <w:b w:val="0"/>
                <w:sz w:val="16"/>
              </w:rPr>
              <w:t>Preventive</w:t>
            </w:r>
          </w:p>
        </w:tc>
      </w:tr>
      <w:tr>
        <w:tc>
          <w:tcPr>
            <w:tcW w:type="dxa" w:w="864"/>
            <w:shd w:val="clear" w:fill="F4F7FB"/>
          </w:tcPr>
          <w:p>
            <w:r/>
            <w:r>
              <w:rPr>
                <w:rFonts w:ascii="Arial" w:hAnsi="Arial"/>
                <w:b w:val="0"/>
                <w:sz w:val="16"/>
              </w:rPr>
              <w:t>S-07</w:t>
            </w:r>
          </w:p>
        </w:tc>
        <w:tc>
          <w:tcPr>
            <w:tcW w:type="dxa" w:w="2880"/>
            <w:shd w:val="clear" w:fill="F4F7FB"/>
          </w:tcPr>
          <w:p>
            <w:r/>
            <w:r>
              <w:rPr>
                <w:rFonts w:ascii="Arial" w:hAnsi="Arial"/>
                <w:b w:val="0"/>
                <w:sz w:val="16"/>
              </w:rPr>
              <w:t>DEI</w:t>
            </w:r>
          </w:p>
        </w:tc>
        <w:tc>
          <w:tcPr>
            <w:tcW w:type="dxa" w:w="3744"/>
            <w:shd w:val="clear" w:fill="F4F7FB"/>
          </w:tcPr>
          <w:p>
            <w:r/>
            <w:r>
              <w:rPr>
                <w:rFonts w:ascii="Arial" w:hAnsi="Arial"/>
                <w:b w:val="0"/>
                <w:sz w:val="16"/>
              </w:rPr>
              <w:t>Plan, targets and monitoring</w:t>
            </w:r>
          </w:p>
        </w:tc>
        <w:tc>
          <w:tcPr>
            <w:tcW w:type="dxa" w:w="1728"/>
            <w:shd w:val="clear" w:fill="F4F7FB"/>
          </w:tcPr>
          <w:p>
            <w:r/>
            <w:r>
              <w:rPr>
                <w:rFonts w:ascii="Arial" w:hAnsi="Arial"/>
                <w:b w:val="0"/>
                <w:sz w:val="16"/>
              </w:rPr>
              <w:t>HR</w:t>
            </w:r>
          </w:p>
        </w:tc>
        <w:tc>
          <w:tcPr>
            <w:tcW w:type="dxa" w:w="1296"/>
            <w:shd w:val="clear" w:fill="F4F7FB"/>
          </w:tcPr>
          <w:p>
            <w:r/>
            <w:r>
              <w:rPr>
                <w:rFonts w:ascii="Arial" w:hAnsi="Arial"/>
                <w:b w:val="0"/>
                <w:sz w:val="16"/>
              </w:rPr>
              <w:t>Quarterly</w:t>
            </w:r>
          </w:p>
        </w:tc>
        <w:tc>
          <w:tcPr>
            <w:tcW w:type="dxa" w:w="1296"/>
            <w:shd w:val="clear" w:fill="F4F7FB"/>
          </w:tcPr>
          <w:p>
            <w:r/>
            <w:r>
              <w:rPr>
                <w:rFonts w:ascii="Arial" w:hAnsi="Arial"/>
                <w:b w:val="0"/>
                <w:sz w:val="16"/>
              </w:rPr>
              <w:t>Preventive</w:t>
            </w:r>
          </w:p>
        </w:tc>
      </w:tr>
      <w:tr>
        <w:tc>
          <w:tcPr>
            <w:tcW w:type="dxa" w:w="864"/>
          </w:tcPr>
          <w:p>
            <w:r/>
            <w:r>
              <w:rPr>
                <w:rFonts w:ascii="Arial" w:hAnsi="Arial"/>
                <w:b w:val="0"/>
                <w:sz w:val="16"/>
              </w:rPr>
              <w:t>S-08</w:t>
            </w:r>
          </w:p>
        </w:tc>
        <w:tc>
          <w:tcPr>
            <w:tcW w:type="dxa" w:w="2880"/>
          </w:tcPr>
          <w:p>
            <w:r/>
            <w:r>
              <w:rPr>
                <w:rFonts w:ascii="Arial" w:hAnsi="Arial"/>
                <w:b w:val="0"/>
                <w:sz w:val="16"/>
              </w:rPr>
              <w:t>Human rights</w:t>
            </w:r>
          </w:p>
        </w:tc>
        <w:tc>
          <w:tcPr>
            <w:tcW w:type="dxa" w:w="3744"/>
          </w:tcPr>
          <w:p>
            <w:r/>
            <w:r>
              <w:rPr>
                <w:rFonts w:ascii="Arial" w:hAnsi="Arial"/>
                <w:b w:val="0"/>
                <w:sz w:val="16"/>
              </w:rPr>
              <w:t>Due diligence and grievance</w:t>
            </w:r>
          </w:p>
        </w:tc>
        <w:tc>
          <w:tcPr>
            <w:tcW w:type="dxa" w:w="1728"/>
          </w:tcPr>
          <w:p>
            <w:r/>
            <w:r>
              <w:rPr>
                <w:rFonts w:ascii="Arial" w:hAnsi="Arial"/>
                <w:b w:val="0"/>
                <w:sz w:val="16"/>
              </w:rPr>
              <w:t>Sustainability</w:t>
            </w:r>
          </w:p>
        </w:tc>
        <w:tc>
          <w:tcPr>
            <w:tcW w:type="dxa" w:w="1296"/>
          </w:tcPr>
          <w:p>
            <w:r/>
            <w:r>
              <w:rPr>
                <w:rFonts w:ascii="Arial" w:hAnsi="Arial"/>
                <w:b w:val="0"/>
                <w:sz w:val="16"/>
              </w:rPr>
              <w:t>Annually</w:t>
            </w:r>
          </w:p>
        </w:tc>
        <w:tc>
          <w:tcPr>
            <w:tcW w:type="dxa" w:w="1296"/>
          </w:tcPr>
          <w:p>
            <w:r/>
            <w:r>
              <w:rPr>
                <w:rFonts w:ascii="Arial" w:hAnsi="Arial"/>
                <w:b w:val="0"/>
                <w:sz w:val="16"/>
              </w:rPr>
              <w:t>Preventive</w:t>
            </w:r>
          </w:p>
        </w:tc>
      </w:tr>
      <w:tr>
        <w:tc>
          <w:tcPr>
            <w:tcW w:type="dxa" w:w="864"/>
            <w:shd w:val="clear" w:fill="F4F7FB"/>
          </w:tcPr>
          <w:p>
            <w:r/>
            <w:r>
              <w:rPr>
                <w:rFonts w:ascii="Arial" w:hAnsi="Arial"/>
                <w:b w:val="0"/>
                <w:sz w:val="16"/>
              </w:rPr>
              <w:t>S-10</w:t>
            </w:r>
          </w:p>
        </w:tc>
        <w:tc>
          <w:tcPr>
            <w:tcW w:type="dxa" w:w="2880"/>
            <w:shd w:val="clear" w:fill="F4F7FB"/>
          </w:tcPr>
          <w:p>
            <w:r/>
            <w:r>
              <w:rPr>
                <w:rFonts w:ascii="Arial" w:hAnsi="Arial"/>
                <w:b w:val="0"/>
                <w:sz w:val="16"/>
              </w:rPr>
              <w:t>Supply chain</w:t>
            </w:r>
          </w:p>
        </w:tc>
        <w:tc>
          <w:tcPr>
            <w:tcW w:type="dxa" w:w="3744"/>
            <w:shd w:val="clear" w:fill="F4F7FB"/>
          </w:tcPr>
          <w:p>
            <w:r/>
            <w:r>
              <w:rPr>
                <w:rFonts w:ascii="Arial" w:hAnsi="Arial"/>
                <w:b w:val="0"/>
                <w:sz w:val="16"/>
              </w:rPr>
              <w:t>Supplier ESG assessment</w:t>
            </w:r>
          </w:p>
        </w:tc>
        <w:tc>
          <w:tcPr>
            <w:tcW w:type="dxa" w:w="1728"/>
            <w:shd w:val="clear" w:fill="F4F7FB"/>
          </w:tcPr>
          <w:p>
            <w:r/>
            <w:r>
              <w:rPr>
                <w:rFonts w:ascii="Arial" w:hAnsi="Arial"/>
                <w:b w:val="0"/>
                <w:sz w:val="16"/>
              </w:rPr>
              <w:t>Procurement</w:t>
            </w:r>
          </w:p>
        </w:tc>
        <w:tc>
          <w:tcPr>
            <w:tcW w:type="dxa" w:w="1296"/>
            <w:shd w:val="clear" w:fill="F4F7FB"/>
          </w:tcPr>
          <w:p>
            <w:r/>
            <w:r>
              <w:rPr>
                <w:rFonts w:ascii="Arial" w:hAnsi="Arial"/>
                <w:b w:val="0"/>
                <w:sz w:val="16"/>
              </w:rPr>
              <w:t>Quarterly</w:t>
            </w:r>
          </w:p>
        </w:tc>
        <w:tc>
          <w:tcPr>
            <w:tcW w:type="dxa" w:w="1296"/>
            <w:shd w:val="clear" w:fill="F4F7FB"/>
          </w:tcPr>
          <w:p>
            <w:r/>
            <w:r>
              <w:rPr>
                <w:rFonts w:ascii="Arial" w:hAnsi="Arial"/>
                <w:b w:val="0"/>
                <w:sz w:val="16"/>
              </w:rPr>
              <w:t>Detective</w:t>
            </w:r>
          </w:p>
        </w:tc>
      </w:tr>
    </w:tbl>
    <w:p>
      <w:pPr>
        <w:pStyle w:val="Heading1"/>
      </w:pPr>
      <w:r>
        <w:t>7. Sample Controls / Actions</w:t>
      </w:r>
    </w:p>
    <w:p>
      <w:pPr>
        <w:pStyle w:val="ListBullet"/>
      </w:pPr>
      <w:r>
        <w:rPr>
          <w:sz w:val="19"/>
        </w:rPr>
        <w:t>Health &amp; safety managed to a system</w:t>
      </w:r>
    </w:p>
    <w:p>
      <w:pPr>
        <w:pStyle w:val="ListBullet"/>
      </w:pPr>
      <w:r>
        <w:rPr>
          <w:sz w:val="19"/>
        </w:rPr>
        <w:t>DEI plan and targets operating</w:t>
      </w:r>
    </w:p>
    <w:p>
      <w:pPr>
        <w:pStyle w:val="ListBullet"/>
      </w:pPr>
      <w:r>
        <w:rPr>
          <w:sz w:val="19"/>
        </w:rPr>
        <w:t>Labour and human rights respected</w:t>
      </w:r>
    </w:p>
    <w:p>
      <w:pPr>
        <w:pStyle w:val="ListBullet"/>
      </w:pPr>
      <w:r>
        <w:rPr>
          <w:sz w:val="19"/>
        </w:rPr>
        <w:t>Human-rights due diligence performed</w:t>
      </w:r>
    </w:p>
    <w:p>
      <w:pPr>
        <w:pStyle w:val="ListBullet"/>
      </w:pPr>
      <w:r>
        <w:rPr>
          <w:sz w:val="19"/>
        </w:rPr>
        <w:t>Supplier ESG assessment operating</w:t>
      </w:r>
    </w:p>
    <w:p>
      <w:pPr>
        <w:pStyle w:val="Heading1"/>
      </w:pPr>
      <w:r>
        <w:t>8. Measurement &amp; Testing Approach</w:t>
      </w:r>
    </w:p>
    <w:p>
      <w:r>
        <w:rPr>
          <w:b w:val="0"/>
          <w:i w:val="0"/>
          <w:sz w:val="20"/>
        </w:rPr>
        <w:t>Measure performance against targets and test the reliability of ESG data and controls. Use the assessment scale: Effective / Partially effective / Ineffective for controls, and verified/estimated/unverified for data.</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2880"/>
            <w:shd w:val="clear" w:fill="1B4D89"/>
          </w:tcPr>
          <w:p>
            <w:r/>
            <w:r>
              <w:rPr>
                <w:rFonts w:ascii="Arial" w:hAnsi="Arial"/>
                <w:b/>
                <w:color w:val="FFFFFF"/>
                <w:sz w:val="16"/>
              </w:rPr>
              <w:t>Area</w:t>
            </w:r>
          </w:p>
        </w:tc>
        <w:tc>
          <w:tcPr>
            <w:tcW w:type="dxa" w:w="4320"/>
            <w:shd w:val="clear" w:fill="1B4D89"/>
          </w:tcPr>
          <w:p>
            <w:r/>
            <w:r>
              <w:rPr>
                <w:rFonts w:ascii="Arial" w:hAnsi="Arial"/>
                <w:b/>
                <w:color w:val="FFFFFF"/>
                <w:sz w:val="16"/>
              </w:rPr>
              <w:t>Procedure</w:t>
            </w:r>
          </w:p>
        </w:tc>
        <w:tc>
          <w:tcPr>
            <w:tcW w:type="dxa" w:w="2160"/>
            <w:shd w:val="clear" w:fill="1B4D89"/>
          </w:tcPr>
          <w:p>
            <w:r/>
            <w:r>
              <w:rPr>
                <w:rFonts w:ascii="Arial" w:hAnsi="Arial"/>
                <w:b/>
                <w:color w:val="FFFFFF"/>
                <w:sz w:val="16"/>
              </w:rPr>
              <w:t>Basis</w:t>
            </w:r>
          </w:p>
        </w:tc>
        <w:tc>
          <w:tcPr>
            <w:tcW w:type="dxa" w:w="1440"/>
            <w:shd w:val="clear" w:fill="1B4D89"/>
          </w:tcPr>
          <w:p>
            <w:r/>
            <w:r>
              <w:rPr>
                <w:rFonts w:ascii="Arial" w:hAnsi="Arial"/>
                <w:b/>
                <w:color w:val="FFFFFF"/>
                <w:sz w:val="16"/>
              </w:rPr>
              <w:t>Frequency</w:t>
            </w:r>
          </w:p>
        </w:tc>
      </w:tr>
      <w:tr>
        <w:tc>
          <w:tcPr>
            <w:tcW w:type="dxa" w:w="2880"/>
          </w:tcPr>
          <w:p>
            <w:r/>
            <w:r>
              <w:rPr>
                <w:rFonts w:ascii="Arial" w:hAnsi="Arial"/>
                <w:b w:val="0"/>
                <w:sz w:val="16"/>
              </w:rPr>
              <w:t>Health &amp; safety</w:t>
            </w:r>
          </w:p>
        </w:tc>
        <w:tc>
          <w:tcPr>
            <w:tcW w:type="dxa" w:w="4320"/>
          </w:tcPr>
          <w:p>
            <w:r/>
            <w:r>
              <w:rPr>
                <w:rFonts w:ascii="Arial" w:hAnsi="Arial"/>
                <w:b w:val="0"/>
                <w:sz w:val="16"/>
              </w:rPr>
              <w:t>Review incidents, controls and trends</w:t>
            </w:r>
          </w:p>
        </w:tc>
        <w:tc>
          <w:tcPr>
            <w:tcW w:type="dxa" w:w="2160"/>
          </w:tcPr>
          <w:p>
            <w:r/>
            <w:r>
              <w:rPr>
                <w:rFonts w:ascii="Arial" w:hAnsi="Arial"/>
                <w:b w:val="0"/>
                <w:sz w:val="16"/>
              </w:rPr>
              <w:t>Full</w:t>
            </w:r>
          </w:p>
        </w:tc>
        <w:tc>
          <w:tcPr>
            <w:tcW w:type="dxa" w:w="1440"/>
          </w:tcPr>
          <w:p>
            <w:r/>
            <w:r>
              <w:rPr>
                <w:rFonts w:ascii="Arial" w:hAnsi="Arial"/>
                <w:b w:val="0"/>
                <w:sz w:val="16"/>
              </w:rPr>
              <w:t>Monthly</w:t>
            </w:r>
          </w:p>
        </w:tc>
      </w:tr>
      <w:tr>
        <w:tc>
          <w:tcPr>
            <w:tcW w:type="dxa" w:w="2880"/>
            <w:shd w:val="clear" w:fill="F4F7FB"/>
          </w:tcPr>
          <w:p>
            <w:r/>
            <w:r>
              <w:rPr>
                <w:rFonts w:ascii="Arial" w:hAnsi="Arial"/>
                <w:b w:val="0"/>
                <w:sz w:val="16"/>
              </w:rPr>
              <w:t>DEI</w:t>
            </w:r>
          </w:p>
        </w:tc>
        <w:tc>
          <w:tcPr>
            <w:tcW w:type="dxa" w:w="4320"/>
            <w:shd w:val="clear" w:fill="F4F7FB"/>
          </w:tcPr>
          <w:p>
            <w:r/>
            <w:r>
              <w:rPr>
                <w:rFonts w:ascii="Arial" w:hAnsi="Arial"/>
                <w:b w:val="0"/>
                <w:sz w:val="16"/>
              </w:rPr>
              <w:t>Check DEI metrics against targets</w:t>
            </w:r>
          </w:p>
        </w:tc>
        <w:tc>
          <w:tcPr>
            <w:tcW w:type="dxa" w:w="2160"/>
            <w:shd w:val="clear" w:fill="F4F7FB"/>
          </w:tcPr>
          <w:p>
            <w:r/>
            <w:r>
              <w:rPr>
                <w:rFonts w:ascii="Arial" w:hAnsi="Arial"/>
                <w:b w:val="0"/>
                <w:sz w:val="16"/>
              </w:rPr>
              <w:t>Sample</w:t>
            </w:r>
          </w:p>
        </w:tc>
        <w:tc>
          <w:tcPr>
            <w:tcW w:type="dxa" w:w="1440"/>
            <w:shd w:val="clear" w:fill="F4F7FB"/>
          </w:tcPr>
          <w:p>
            <w:r/>
            <w:r>
              <w:rPr>
                <w:rFonts w:ascii="Arial" w:hAnsi="Arial"/>
                <w:b w:val="0"/>
                <w:sz w:val="16"/>
              </w:rPr>
              <w:t>Quarterly</w:t>
            </w:r>
          </w:p>
        </w:tc>
      </w:tr>
      <w:tr>
        <w:tc>
          <w:tcPr>
            <w:tcW w:type="dxa" w:w="2880"/>
          </w:tcPr>
          <w:p>
            <w:r/>
            <w:r>
              <w:rPr>
                <w:rFonts w:ascii="Arial" w:hAnsi="Arial"/>
                <w:b w:val="0"/>
                <w:sz w:val="16"/>
              </w:rPr>
              <w:t>Supplier ESG</w:t>
            </w:r>
          </w:p>
        </w:tc>
        <w:tc>
          <w:tcPr>
            <w:tcW w:type="dxa" w:w="4320"/>
          </w:tcPr>
          <w:p>
            <w:r/>
            <w:r>
              <w:rPr>
                <w:rFonts w:ascii="Arial" w:hAnsi="Arial"/>
                <w:b w:val="0"/>
                <w:sz w:val="16"/>
              </w:rPr>
              <w:t>Review supplier assessments and remediation</w:t>
            </w:r>
          </w:p>
        </w:tc>
        <w:tc>
          <w:tcPr>
            <w:tcW w:type="dxa" w:w="2160"/>
          </w:tcPr>
          <w:p>
            <w:r/>
            <w:r>
              <w:rPr>
                <w:rFonts w:ascii="Arial" w:hAnsi="Arial"/>
                <w:b w:val="0"/>
                <w:sz w:val="16"/>
              </w:rPr>
              <w:t>Sample</w:t>
            </w:r>
          </w:p>
        </w:tc>
        <w:tc>
          <w:tcPr>
            <w:tcW w:type="dxa" w:w="1440"/>
          </w:tcPr>
          <w:p>
            <w:r/>
            <w:r>
              <w:rPr>
                <w:rFonts w:ascii="Arial" w:hAnsi="Arial"/>
                <w:b w:val="0"/>
                <w:sz w:val="16"/>
              </w:rPr>
              <w:t>Quarterly</w:t>
            </w:r>
          </w:p>
        </w:tc>
      </w:tr>
    </w:tbl>
    <w:p>
      <w:r>
        <w:rPr>
          <w:b w:val="0"/>
          <w:i/>
          <w:sz w:val="18"/>
        </w:rPr>
        <w:t>Record results in the relevant workbook (e.g. ESG KPI Workbook, ESG Data Collection Workbook) and track gaps to closure.</w:t>
      </w:r>
    </w:p>
    <w:p>
      <w:pPr>
        <w:pStyle w:val="Heading1"/>
      </w:pPr>
      <w:r>
        <w:t>9. Implementation Roadmap</w:t>
      </w:r>
    </w:p>
    <w:tbl>
      <w:tblPr>
        <w:tblStyle w:val="TableGrid"/>
        <w:tblW w:type="auto" w:w="0"/>
        <w:jc w:val="center"/>
        <w:tblLook w:firstColumn="1" w:firstRow="1" w:lastColumn="0" w:lastRow="0" w:noHBand="0" w:noVBand="1" w:val="04A0"/>
      </w:tblPr>
      <w:tblGrid>
        <w:gridCol w:w="3264"/>
        <w:gridCol w:w="3264"/>
        <w:gridCol w:w="3264"/>
      </w:tblGrid>
      <w:tr>
        <w:tc>
          <w:tcPr>
            <w:tcW w:type="dxa" w:w="1872"/>
            <w:shd w:val="clear" w:fill="1B4D89"/>
          </w:tcPr>
          <w:p>
            <w:r/>
            <w:r>
              <w:rPr>
                <w:rFonts w:ascii="Arial" w:hAnsi="Arial"/>
                <w:b/>
                <w:color w:val="FFFFFF"/>
                <w:sz w:val="17"/>
              </w:rPr>
              <w:t>Phase</w:t>
            </w:r>
          </w:p>
        </w:tc>
        <w:tc>
          <w:tcPr>
            <w:tcW w:type="dxa" w:w="5328"/>
            <w:shd w:val="clear" w:fill="1B4D89"/>
          </w:tcPr>
          <w:p>
            <w:r/>
            <w:r>
              <w:rPr>
                <w:rFonts w:ascii="Arial" w:hAnsi="Arial"/>
                <w:b/>
                <w:color w:val="FFFFFF"/>
                <w:sz w:val="17"/>
              </w:rPr>
              <w:t>Focus</w:t>
            </w:r>
          </w:p>
        </w:tc>
        <w:tc>
          <w:tcPr>
            <w:tcW w:type="dxa" w:w="4320"/>
            <w:shd w:val="clear" w:fill="1B4D89"/>
          </w:tcPr>
          <w:p>
            <w:r/>
            <w:r>
              <w:rPr>
                <w:rFonts w:ascii="Arial" w:hAnsi="Arial"/>
                <w:b/>
                <w:color w:val="FFFFFF"/>
                <w:sz w:val="17"/>
              </w:rPr>
              <w:t>Outcome</w:t>
            </w:r>
          </w:p>
        </w:tc>
      </w:tr>
      <w:tr>
        <w:tc>
          <w:tcPr>
            <w:tcW w:type="dxa" w:w="1872"/>
          </w:tcPr>
          <w:p>
            <w:r/>
            <w:r>
              <w:rPr>
                <w:rFonts w:ascii="Arial" w:hAnsi="Arial"/>
                <w:b w:val="0"/>
                <w:sz w:val="17"/>
              </w:rPr>
              <w:t>Phase 1</w:t>
            </w:r>
          </w:p>
        </w:tc>
        <w:tc>
          <w:tcPr>
            <w:tcW w:type="dxa" w:w="5328"/>
          </w:tcPr>
          <w:p>
            <w:r/>
            <w:r>
              <w:rPr>
                <w:rFonts w:ascii="Arial" w:hAnsi="Arial"/>
                <w:b w:val="0"/>
                <w:sz w:val="17"/>
              </w:rPr>
              <w:t>Assess social and human-rights risks</w:t>
            </w:r>
          </w:p>
        </w:tc>
        <w:tc>
          <w:tcPr>
            <w:tcW w:type="dxa" w:w="4320"/>
          </w:tcPr>
          <w:p>
            <w:r/>
            <w:r>
              <w:rPr>
                <w:rFonts w:ascii="Arial" w:hAnsi="Arial"/>
                <w:b w:val="0"/>
                <w:sz w:val="17"/>
              </w:rPr>
              <w:t>Risk picture</w:t>
            </w:r>
          </w:p>
        </w:tc>
      </w:tr>
      <w:tr>
        <w:tc>
          <w:tcPr>
            <w:tcW w:type="dxa" w:w="1872"/>
            <w:shd w:val="clear" w:fill="F4F7FB"/>
          </w:tcPr>
          <w:p>
            <w:r/>
            <w:r>
              <w:rPr>
                <w:rFonts w:ascii="Arial" w:hAnsi="Arial"/>
                <w:b w:val="0"/>
                <w:sz w:val="17"/>
              </w:rPr>
              <w:t>Phase 2</w:t>
            </w:r>
          </w:p>
        </w:tc>
        <w:tc>
          <w:tcPr>
            <w:tcW w:type="dxa" w:w="5328"/>
            <w:shd w:val="clear" w:fill="F4F7FB"/>
          </w:tcPr>
          <w:p>
            <w:r/>
            <w:r>
              <w:rPr>
                <w:rFonts w:ascii="Arial" w:hAnsi="Arial"/>
                <w:b w:val="0"/>
                <w:sz w:val="17"/>
              </w:rPr>
              <w:t>Implement DEI, H&amp;S and due diligence</w:t>
            </w:r>
          </w:p>
        </w:tc>
        <w:tc>
          <w:tcPr>
            <w:tcW w:type="dxa" w:w="4320"/>
            <w:shd w:val="clear" w:fill="F4F7FB"/>
          </w:tcPr>
          <w:p>
            <w:r/>
            <w:r>
              <w:rPr>
                <w:rFonts w:ascii="Arial" w:hAnsi="Arial"/>
                <w:b w:val="0"/>
                <w:sz w:val="17"/>
              </w:rPr>
              <w:t>Operating programmes</w:t>
            </w:r>
          </w:p>
        </w:tc>
      </w:tr>
      <w:tr>
        <w:tc>
          <w:tcPr>
            <w:tcW w:type="dxa" w:w="1872"/>
          </w:tcPr>
          <w:p>
            <w:r/>
            <w:r>
              <w:rPr>
                <w:rFonts w:ascii="Arial" w:hAnsi="Arial"/>
                <w:b w:val="0"/>
                <w:sz w:val="17"/>
              </w:rPr>
              <w:t>Phase 3</w:t>
            </w:r>
          </w:p>
        </w:tc>
        <w:tc>
          <w:tcPr>
            <w:tcW w:type="dxa" w:w="5328"/>
          </w:tcPr>
          <w:p>
            <w:r/>
            <w:r>
              <w:rPr>
                <w:rFonts w:ascii="Arial" w:hAnsi="Arial"/>
                <w:b w:val="0"/>
                <w:sz w:val="17"/>
              </w:rPr>
              <w:t>Roll out supplier ESG</w:t>
            </w:r>
          </w:p>
        </w:tc>
        <w:tc>
          <w:tcPr>
            <w:tcW w:type="dxa" w:w="4320"/>
          </w:tcPr>
          <w:p>
            <w:r/>
            <w:r>
              <w:rPr>
                <w:rFonts w:ascii="Arial" w:hAnsi="Arial"/>
                <w:b w:val="0"/>
                <w:sz w:val="17"/>
              </w:rPr>
              <w:t>Managed supply chain</w:t>
            </w:r>
          </w:p>
        </w:tc>
      </w:tr>
      <w:tr>
        <w:tc>
          <w:tcPr>
            <w:tcW w:type="dxa" w:w="1872"/>
            <w:shd w:val="clear" w:fill="F4F7FB"/>
          </w:tcPr>
          <w:p>
            <w:r/>
            <w:r>
              <w:rPr>
                <w:rFonts w:ascii="Arial" w:hAnsi="Arial"/>
                <w:b w:val="0"/>
                <w:sz w:val="17"/>
              </w:rPr>
              <w:t>Phase 4</w:t>
            </w:r>
          </w:p>
        </w:tc>
        <w:tc>
          <w:tcPr>
            <w:tcW w:type="dxa" w:w="5328"/>
            <w:shd w:val="clear" w:fill="F4F7FB"/>
          </w:tcPr>
          <w:p>
            <w:r/>
            <w:r>
              <w:rPr>
                <w:rFonts w:ascii="Arial" w:hAnsi="Arial"/>
                <w:b w:val="0"/>
                <w:sz w:val="17"/>
              </w:rPr>
              <w:t>Measure and report</w:t>
            </w:r>
          </w:p>
        </w:tc>
        <w:tc>
          <w:tcPr>
            <w:tcW w:type="dxa" w:w="4320"/>
            <w:shd w:val="clear" w:fill="F4F7FB"/>
          </w:tcPr>
          <w:p>
            <w:r/>
            <w:r>
              <w:rPr>
                <w:rFonts w:ascii="Arial" w:hAnsi="Arial"/>
                <w:b w:val="0"/>
                <w:sz w:val="17"/>
              </w:rPr>
              <w:t>Disclosed performance</w:t>
            </w:r>
          </w:p>
        </w:tc>
      </w:tr>
    </w:tbl>
    <w:p>
      <w:pPr>
        <w:pStyle w:val="Heading1"/>
      </w:pPr>
      <w:r>
        <w:t>10. Templates</w:t>
      </w:r>
    </w:p>
    <w:p>
      <w:r>
        <w:rPr>
          <w:b w:val="0"/>
          <w:i w:val="0"/>
          <w:sz w:val="20"/>
        </w:rPr>
        <w:t>This toolkit is supported by the following editable templates and working files in the Resource Library:</w:t>
      </w:r>
    </w:p>
    <w:p>
      <w:pPr>
        <w:pStyle w:val="ListBullet"/>
      </w:pPr>
      <w:r>
        <w:rPr>
          <w:sz w:val="19"/>
        </w:rPr>
        <w:t>Social Sustainability Policy</w:t>
      </w:r>
    </w:p>
    <w:p>
      <w:pPr>
        <w:pStyle w:val="ListBullet"/>
      </w:pPr>
      <w:r>
        <w:rPr>
          <w:sz w:val="19"/>
        </w:rPr>
        <w:t>Diversity, Equity &amp; Inclusion Plan Template</w:t>
      </w:r>
    </w:p>
    <w:p>
      <w:pPr>
        <w:pStyle w:val="ListBullet"/>
      </w:pPr>
      <w:r>
        <w:rPr>
          <w:sz w:val="19"/>
        </w:rPr>
        <w:t>Human Rights Due Diligence Template</w:t>
      </w:r>
    </w:p>
    <w:p>
      <w:pPr>
        <w:pStyle w:val="ListBullet"/>
      </w:pPr>
      <w:r>
        <w:rPr>
          <w:sz w:val="19"/>
        </w:rPr>
        <w:t>Supplier ESG Assessment (XLSX)</w:t>
      </w:r>
    </w:p>
    <w:p>
      <w:pPr>
        <w:pStyle w:val="ListBullet"/>
      </w:pPr>
      <w:r>
        <w:rPr>
          <w:sz w:val="19"/>
        </w:rPr>
        <w:t>Health &amp; Safety Management Template</w:t>
      </w:r>
    </w:p>
    <w:p>
      <w:pPr>
        <w:pStyle w:val="Heading1"/>
      </w:pPr>
      <w:r>
        <w:t>11. Checklists</w:t>
      </w:r>
    </w:p>
    <w:p>
      <w:pPr>
        <w:ind w:left="288"/>
      </w:pPr>
      <w:r>
        <w:rPr>
          <w:sz w:val="19"/>
        </w:rPr>
        <w:t>☐  Health &amp; safety management system operating</w:t>
      </w:r>
    </w:p>
    <w:p>
      <w:pPr>
        <w:ind w:left="288"/>
      </w:pPr>
      <w:r>
        <w:rPr>
          <w:sz w:val="19"/>
        </w:rPr>
        <w:t>☐  Safety performance tracked</w:t>
      </w:r>
    </w:p>
    <w:p>
      <w:pPr>
        <w:ind w:left="288"/>
      </w:pPr>
      <w:r>
        <w:rPr>
          <w:sz w:val="19"/>
        </w:rPr>
        <w:t>☐  DEI plan and targets in place</w:t>
      </w:r>
    </w:p>
    <w:p>
      <w:pPr>
        <w:ind w:left="288"/>
      </w:pPr>
      <w:r>
        <w:rPr>
          <w:sz w:val="19"/>
        </w:rPr>
        <w:t>☐  Labour standards applied</w:t>
      </w:r>
    </w:p>
    <w:p>
      <w:pPr>
        <w:ind w:left="288"/>
      </w:pPr>
      <w:r>
        <w:rPr>
          <w:sz w:val="19"/>
        </w:rPr>
        <w:t>☐  Human-rights due diligence performed</w:t>
      </w:r>
    </w:p>
    <w:p>
      <w:pPr>
        <w:ind w:left="288"/>
      </w:pPr>
      <w:r>
        <w:rPr>
          <w:sz w:val="19"/>
        </w:rPr>
        <w:t>☐  Grievance mechanism live</w:t>
      </w:r>
    </w:p>
    <w:p>
      <w:pPr>
        <w:ind w:left="288"/>
      </w:pPr>
      <w:r>
        <w:rPr>
          <w:sz w:val="19"/>
        </w:rPr>
        <w:t>☐  Supplier ESG assessment operating</w:t>
      </w:r>
    </w:p>
    <w:p>
      <w:pPr>
        <w:ind w:left="288"/>
      </w:pPr>
      <w:r>
        <w:rPr>
          <w:sz w:val="19"/>
        </w:rPr>
        <w:t>☐  High-risk suppliers remediated</w:t>
      </w:r>
    </w:p>
    <w:p>
      <w:pPr>
        <w:pStyle w:val="Heading1"/>
      </w:pPr>
      <w:r>
        <w:t>12. Board Reporting Examples</w:t>
      </w:r>
    </w:p>
    <w:p>
      <w:r>
        <w:rPr>
          <w:b w:val="0"/>
          <w:i w:val="0"/>
          <w:sz w:val="19"/>
        </w:rPr>
        <w:t>Standard ESG report: executive summary · performance vs target (RAG) · key metrics · risks &amp;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440"/>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3168"/>
          </w:tcPr>
          <w:p>
            <w:r/>
            <w:r>
              <w:rPr>
                <w:rFonts w:ascii="Arial" w:hAnsi="Arial"/>
                <w:b w:val="0"/>
                <w:sz w:val="16"/>
              </w:rPr>
              <w:t>Lost-time injury rate</w:t>
            </w:r>
          </w:p>
        </w:tc>
        <w:tc>
          <w:tcPr>
            <w:tcW w:type="dxa" w:w="1440"/>
          </w:tcPr>
          <w:p>
            <w:r/>
            <w:r>
              <w:rPr>
                <w:rFonts w:ascii="Arial" w:hAnsi="Arial"/>
                <w:b w:val="0"/>
                <w:sz w:val="16"/>
              </w:rPr>
              <w:t>1.2</w:t>
            </w:r>
          </w:p>
        </w:tc>
        <w:tc>
          <w:tcPr>
            <w:tcW w:type="dxa" w:w="1440"/>
          </w:tcPr>
          <w:p>
            <w:r/>
            <w:r>
              <w:rPr>
                <w:rFonts w:ascii="Arial" w:hAnsi="Arial"/>
                <w:b w:val="0"/>
                <w:sz w:val="16"/>
              </w:rPr>
              <w:t>≤0.5</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Strengthen safety</w:t>
            </w:r>
          </w:p>
        </w:tc>
      </w:tr>
      <w:tr>
        <w:tc>
          <w:tcPr>
            <w:tcW w:type="dxa" w:w="3168"/>
            <w:shd w:val="clear" w:fill="F4F7FB"/>
          </w:tcPr>
          <w:p>
            <w:r/>
            <w:r>
              <w:rPr>
                <w:rFonts w:ascii="Arial" w:hAnsi="Arial"/>
                <w:b w:val="0"/>
                <w:sz w:val="16"/>
              </w:rPr>
              <w:t>Women in leadership</w:t>
            </w:r>
          </w:p>
        </w:tc>
        <w:tc>
          <w:tcPr>
            <w:tcW w:type="dxa" w:w="1440"/>
            <w:shd w:val="clear" w:fill="F4F7FB"/>
          </w:tcPr>
          <w:p>
            <w:r/>
            <w:r>
              <w:rPr>
                <w:rFonts w:ascii="Arial" w:hAnsi="Arial"/>
                <w:b w:val="0"/>
                <w:sz w:val="16"/>
              </w:rPr>
              <w:t>29%</w:t>
            </w:r>
          </w:p>
        </w:tc>
        <w:tc>
          <w:tcPr>
            <w:tcW w:type="dxa" w:w="1440"/>
            <w:shd w:val="clear" w:fill="F4F7FB"/>
          </w:tcPr>
          <w:p>
            <w:r/>
            <w:r>
              <w:rPr>
                <w:rFonts w:ascii="Arial" w:hAnsi="Arial"/>
                <w:b w:val="0"/>
                <w:sz w:val="16"/>
              </w:rPr>
              <w:t>≥40%</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Advance DEI</w:t>
            </w:r>
          </w:p>
        </w:tc>
      </w:tr>
      <w:tr>
        <w:tc>
          <w:tcPr>
            <w:tcW w:type="dxa" w:w="3168"/>
          </w:tcPr>
          <w:p>
            <w:r/>
            <w:r>
              <w:rPr>
                <w:rFonts w:ascii="Arial" w:hAnsi="Arial"/>
                <w:b w:val="0"/>
                <w:sz w:val="16"/>
              </w:rPr>
              <w:t>Suppliers ESG-assessed</w:t>
            </w:r>
          </w:p>
        </w:tc>
        <w:tc>
          <w:tcPr>
            <w:tcW w:type="dxa" w:w="1440"/>
          </w:tcPr>
          <w:p>
            <w:r/>
            <w:r>
              <w:rPr>
                <w:rFonts w:ascii="Arial" w:hAnsi="Arial"/>
                <w:b w:val="0"/>
                <w:sz w:val="16"/>
              </w:rPr>
              <w:t>62%</w:t>
            </w:r>
          </w:p>
        </w:tc>
        <w:tc>
          <w:tcPr>
            <w:tcW w:type="dxa" w:w="1440"/>
          </w:tcPr>
          <w:p>
            <w:r/>
            <w:r>
              <w:rPr>
                <w:rFonts w:ascii="Arial" w:hAnsi="Arial"/>
                <w:b w:val="0"/>
                <w:sz w:val="16"/>
              </w:rPr>
              <w:t>≥80%</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Extend assessment</w:t>
            </w:r>
          </w:p>
        </w:tc>
      </w:tr>
      <w:tr>
        <w:tc>
          <w:tcPr>
            <w:tcW w:type="dxa" w:w="3168"/>
            <w:shd w:val="clear" w:fill="F4F7FB"/>
          </w:tcPr>
          <w:p>
            <w:r/>
            <w:r>
              <w:rPr>
                <w:rFonts w:ascii="Arial" w:hAnsi="Arial"/>
                <w:b w:val="0"/>
                <w:sz w:val="16"/>
              </w:rPr>
              <w:t>Human-rights issues</w:t>
            </w:r>
          </w:p>
        </w:tc>
        <w:tc>
          <w:tcPr>
            <w:tcW w:type="dxa" w:w="1440"/>
            <w:shd w:val="clear" w:fill="F4F7FB"/>
          </w:tcPr>
          <w:p>
            <w:r/>
            <w:r>
              <w:rPr>
                <w:rFonts w:ascii="Arial" w:hAnsi="Arial"/>
                <w:b w:val="0"/>
                <w:sz w:val="16"/>
              </w:rPr>
              <w:t>0</w:t>
            </w:r>
          </w:p>
        </w:tc>
        <w:tc>
          <w:tcPr>
            <w:tcW w:type="dxa" w:w="1440"/>
            <w:shd w:val="clear" w:fill="F4F7FB"/>
          </w:tcPr>
          <w:p>
            <w:r/>
            <w:r>
              <w:rPr>
                <w:rFonts w:ascii="Arial" w:hAnsi="Arial"/>
                <w:b w:val="0"/>
                <w:sz w:val="16"/>
              </w:rPr>
              <w:t>0</w:t>
            </w:r>
          </w:p>
        </w:tc>
        <w:tc>
          <w:tcPr>
            <w:tcW w:type="dxa" w:w="1152"/>
            <w:shd w:val="clear" w:fill="F4F7FB"/>
            <w:shd w:val="clear" w:fill="2E7D5B"/>
          </w:tcPr>
          <w:p>
            <w:pPr>
              <w:jc w:val="center"/>
            </w:pPr>
            <w:r/>
            <w:r>
              <w:rPr>
                <w:rFonts w:ascii="Arial" w:hAnsi="Arial"/>
                <w:b/>
                <w:color w:val="FFFFFF"/>
                <w:sz w:val="16"/>
              </w:rPr>
              <w:t>Green</w:t>
            </w:r>
          </w:p>
        </w:tc>
        <w:tc>
          <w:tcPr>
            <w:tcW w:type="dxa" w:w="3744"/>
            <w:shd w:val="clear" w:fill="F4F7FB"/>
          </w:tcPr>
          <w:p>
            <w:r/>
            <w:r>
              <w:rPr>
                <w:rFonts w:ascii="Arial" w:hAnsi="Arial"/>
                <w:b w:val="0"/>
                <w:sz w:val="16"/>
              </w:rPr>
              <w:t>Maintain</w:t>
            </w:r>
          </w:p>
        </w:tc>
      </w:tr>
    </w:tbl>
    <w:p>
      <w:pPr>
        <w:pStyle w:val="Heading1"/>
      </w:pPr>
      <w:r>
        <w:t>13. Board / ESG Committee Reporting</w:t>
      </w:r>
    </w:p>
    <w:p>
      <w:r>
        <w:rPr>
          <w:b w:val="0"/>
          <w:i/>
          <w:sz w:val="19"/>
        </w:rPr>
        <w:t>Illustrative one-page summary for the board / ESG committee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Social &amp; human rights</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Programmes operating; targets in progress</w:t>
            </w:r>
          </w:p>
        </w:tc>
      </w:tr>
      <w:tr>
        <w:tc>
          <w:tcPr>
            <w:tcW w:type="dxa" w:w="2736"/>
            <w:shd w:val="clear" w:fill="F4F7FB"/>
          </w:tcPr>
          <w:p>
            <w:r/>
            <w:r>
              <w:rPr>
                <w:rFonts w:ascii="Arial" w:hAnsi="Arial"/>
                <w:b w:val="0"/>
                <w:sz w:val="16"/>
              </w:rPr>
              <w:t>Health &amp; safety</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Improving; below target</w:t>
            </w:r>
          </w:p>
        </w:tc>
      </w:tr>
      <w:tr>
        <w:tc>
          <w:tcPr>
            <w:tcW w:type="dxa" w:w="2736"/>
          </w:tcPr>
          <w:p>
            <w:r/>
            <w:r>
              <w:rPr>
                <w:rFonts w:ascii="Arial" w:hAnsi="Arial"/>
                <w:b w:val="0"/>
                <w:sz w:val="16"/>
              </w:rPr>
              <w:t>Supply chain</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Assessment extending</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DEI and supplier-ESG plans</w:t>
            </w:r>
          </w:p>
        </w:tc>
      </w:tr>
    </w:tbl>
    <w:p>
      <w:pPr>
        <w:pStyle w:val="Heading1"/>
      </w:pPr>
      <w:r>
        <w:t>14. RAG Examples</w:t>
      </w:r>
    </w:p>
    <w:p>
      <w:r>
        <w:rPr>
          <w:b w:val="0"/>
          <w:i w:val="0"/>
          <w:sz w:val="19"/>
        </w:rPr>
        <w:t>How to read the RAG status used across this toolkit and its workbooks: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1152"/>
            <w:shd w:val="clear" w:fill="1B4D89"/>
          </w:tcPr>
          <w:p>
            <w:r/>
            <w:r>
              <w:rPr>
                <w:rFonts w:ascii="Arial" w:hAnsi="Arial"/>
                <w:b/>
                <w:color w:val="FFFFFF"/>
                <w:sz w:val="16"/>
              </w:rPr>
              <w:t>RAG</w:t>
            </w:r>
          </w:p>
        </w:tc>
        <w:tc>
          <w:tcPr>
            <w:tcW w:type="dxa" w:w="2304"/>
            <w:shd w:val="clear" w:fill="1B4D89"/>
          </w:tcPr>
          <w:p>
            <w:r/>
            <w:r>
              <w:rPr>
                <w:rFonts w:ascii="Arial" w:hAnsi="Arial"/>
                <w:b/>
                <w:color w:val="FFFFFF"/>
                <w:sz w:val="16"/>
              </w:rPr>
              <w:t>Meaning</w:t>
            </w:r>
          </w:p>
        </w:tc>
        <w:tc>
          <w:tcPr>
            <w:tcW w:type="dxa" w:w="5184"/>
            <w:shd w:val="clear" w:fill="1B4D89"/>
          </w:tcPr>
          <w:p>
            <w:r/>
            <w:r>
              <w:rPr>
                <w:rFonts w:ascii="Arial" w:hAnsi="Arial"/>
                <w:b/>
                <w:color w:val="FFFFFF"/>
                <w:sz w:val="16"/>
              </w:rPr>
              <w:t>ESG interpretation</w:t>
            </w:r>
          </w:p>
        </w:tc>
        <w:tc>
          <w:tcPr>
            <w:tcW w:type="dxa" w:w="2880"/>
            <w:shd w:val="clear" w:fill="1B4D89"/>
          </w:tcPr>
          <w:p>
            <w:r/>
            <w:r>
              <w:rPr>
                <w:rFonts w:ascii="Arial" w:hAnsi="Arial"/>
                <w:b/>
                <w:color w:val="FFFFFF"/>
                <w:sz w:val="16"/>
              </w:rPr>
              <w:t>Action</w:t>
            </w:r>
          </w:p>
        </w:tc>
      </w:tr>
      <w:tr>
        <w:tc>
          <w:tcPr>
            <w:tcW w:type="dxa" w:w="1152"/>
            <w:shd w:val="clear" w:fill="2E7D5B"/>
          </w:tcPr>
          <w:p>
            <w:pPr>
              <w:jc w:val="center"/>
            </w:pPr>
            <w:r/>
            <w:r>
              <w:rPr>
                <w:rFonts w:ascii="Arial" w:hAnsi="Arial"/>
                <w:b/>
                <w:color w:val="FFFFFF"/>
                <w:sz w:val="16"/>
              </w:rPr>
              <w:t>Green</w:t>
            </w:r>
          </w:p>
        </w:tc>
        <w:tc>
          <w:tcPr>
            <w:tcW w:type="dxa" w:w="2304"/>
          </w:tcPr>
          <w:p>
            <w:r/>
            <w:r>
              <w:rPr>
                <w:rFonts w:ascii="Arial" w:hAnsi="Arial"/>
                <w:b w:val="0"/>
                <w:sz w:val="16"/>
              </w:rPr>
              <w:t>On track</w:t>
            </w:r>
          </w:p>
        </w:tc>
        <w:tc>
          <w:tcPr>
            <w:tcW w:type="dxa" w:w="5184"/>
          </w:tcPr>
          <w:p>
            <w:r/>
            <w:r>
              <w:rPr>
                <w:rFonts w:ascii="Arial" w:hAnsi="Arial"/>
                <w:b w:val="0"/>
                <w:sz w:val="16"/>
              </w:rPr>
              <w:t>Performance at or above target; well managed</w:t>
            </w:r>
          </w:p>
        </w:tc>
        <w:tc>
          <w:tcPr>
            <w:tcW w:type="dxa" w:w="2880"/>
          </w:tcPr>
          <w:p>
            <w:r/>
            <w:r>
              <w:rPr>
                <w:rFonts w:ascii="Arial" w:hAnsi="Arial"/>
                <w:b w:val="0"/>
                <w:sz w:val="16"/>
              </w:rPr>
              <w:t>Maintain and monitor</w:t>
            </w:r>
          </w:p>
        </w:tc>
      </w:tr>
      <w:tr>
        <w:tc>
          <w:tcPr>
            <w:tcW w:type="dxa" w:w="1152"/>
            <w:shd w:val="clear" w:fill="F4F7FB"/>
            <w:shd w:val="clear" w:fill="E08A2B"/>
          </w:tcPr>
          <w:p>
            <w:pPr>
              <w:jc w:val="center"/>
            </w:pPr>
            <w:r/>
            <w:r>
              <w:rPr>
                <w:rFonts w:ascii="Arial" w:hAnsi="Arial"/>
                <w:b/>
                <w:color w:val="FFFFFF"/>
                <w:sz w:val="16"/>
              </w:rPr>
              <w:t>Amber</w:t>
            </w:r>
          </w:p>
        </w:tc>
        <w:tc>
          <w:tcPr>
            <w:tcW w:type="dxa" w:w="2304"/>
            <w:shd w:val="clear" w:fill="F4F7FB"/>
          </w:tcPr>
          <w:p>
            <w:r/>
            <w:r>
              <w:rPr>
                <w:rFonts w:ascii="Arial" w:hAnsi="Arial"/>
                <w:b w:val="0"/>
                <w:sz w:val="16"/>
              </w:rPr>
              <w:t>Watch</w:t>
            </w:r>
          </w:p>
        </w:tc>
        <w:tc>
          <w:tcPr>
            <w:tcW w:type="dxa" w:w="5184"/>
            <w:shd w:val="clear" w:fill="F4F7FB"/>
          </w:tcPr>
          <w:p>
            <w:r/>
            <w:r>
              <w:rPr>
                <w:rFonts w:ascii="Arial" w:hAnsi="Arial"/>
                <w:b w:val="0"/>
                <w:sz w:val="16"/>
              </w:rPr>
              <w:t>Performance below target or partially managed</w:t>
            </w:r>
          </w:p>
        </w:tc>
        <w:tc>
          <w:tcPr>
            <w:tcW w:type="dxa" w:w="2880"/>
            <w:shd w:val="clear" w:fill="F4F7FB"/>
          </w:tcPr>
          <w:p>
            <w:r/>
            <w:r>
              <w:rPr>
                <w:rFonts w:ascii="Arial" w:hAnsi="Arial"/>
                <w:b w:val="0"/>
                <w:sz w:val="16"/>
              </w:rPr>
              <w:t>Improve and re-measure</w:t>
            </w:r>
          </w:p>
        </w:tc>
      </w:tr>
      <w:tr>
        <w:tc>
          <w:tcPr>
            <w:tcW w:type="dxa" w:w="1152"/>
            <w:shd w:val="clear" w:fill="B23A48"/>
          </w:tcPr>
          <w:p>
            <w:pPr>
              <w:jc w:val="center"/>
            </w:pPr>
            <w:r/>
            <w:r>
              <w:rPr>
                <w:rFonts w:ascii="Arial" w:hAnsi="Arial"/>
                <w:b/>
                <w:color w:val="FFFFFF"/>
                <w:sz w:val="16"/>
              </w:rPr>
              <w:t>Red</w:t>
            </w:r>
          </w:p>
        </w:tc>
        <w:tc>
          <w:tcPr>
            <w:tcW w:type="dxa" w:w="2304"/>
          </w:tcPr>
          <w:p>
            <w:r/>
            <w:r>
              <w:rPr>
                <w:rFonts w:ascii="Arial" w:hAnsi="Arial"/>
                <w:b w:val="0"/>
                <w:sz w:val="16"/>
              </w:rPr>
              <w:t>Off track</w:t>
            </w:r>
          </w:p>
        </w:tc>
        <w:tc>
          <w:tcPr>
            <w:tcW w:type="dxa" w:w="5184"/>
          </w:tcPr>
          <w:p>
            <w:r/>
            <w:r>
              <w:rPr>
                <w:rFonts w:ascii="Arial" w:hAnsi="Arial"/>
                <w:b w:val="0"/>
                <w:sz w:val="16"/>
              </w:rPr>
              <w:t>Significantly below target or unmanaged risk</w:t>
            </w:r>
          </w:p>
        </w:tc>
        <w:tc>
          <w:tcPr>
            <w:tcW w:type="dxa" w:w="2880"/>
          </w:tcPr>
          <w:p>
            <w:r/>
            <w:r>
              <w:rPr>
                <w:rFonts w:ascii="Arial" w:hAnsi="Arial"/>
                <w:b w:val="0"/>
                <w:sz w:val="16"/>
              </w:rPr>
              <w:t>Escalate and act</w:t>
            </w:r>
          </w:p>
        </w:tc>
      </w:tr>
    </w:tbl>
    <w:p>
      <w:pPr>
        <w:pStyle w:val="Heading2"/>
      </w:pPr>
      <w:r>
        <w:t>Notes &amp; Disclaimer</w:t>
      </w:r>
    </w:p>
    <w:p>
      <w:r>
        <w:rPr>
          <w:b w:val="0"/>
          <w:i/>
          <w:sz w:val="18"/>
        </w:rPr>
        <w:t>This resource is a professional ESG and sustainability template, not assurance, legal, investment or regulatory advice. It is anchored to GRI, ISSB (IFRS S1 &amp; S2), TCFD, SASB, the UN SDGs, the UN Global Compact, the GHG Protocol, ISO 14001, ISO 26000 and CDP, and to FRCN, NGX, SEC, the CBN Sustainable Banking Principles and NAICOM — referenced by name only, with no copyrighted standard content reproduced. Calibrate topics, metrics, targets, factors and thresholds to your organisation and confirm requirements against the current standards and applicable regulation. Bracketed fields [like this] and sample entries are editable, illustrative placeholders; emission factors and figures are not authoritative.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