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Board Strategy Charter</w:t>
      </w:r>
    </w:p>
    <w:p>
      <w:pPr>
        <w:jc w:val="center"/>
      </w:pPr>
      <w:r>
        <w:rPr>
          <w:color w:val="C97B2C"/>
          <w:sz w:val="26"/>
        </w:rPr>
        <w:t>The board's mandate for strategy oversight</w:t>
      </w:r>
    </w:p>
    <w:p/>
    <w:p/>
    <w:p>
      <w:pPr>
        <w:jc w:val="center"/>
      </w:pPr>
      <w:r>
        <w:rPr>
          <w:color w:val="555555"/>
          <w:sz w:val="20"/>
        </w:rPr>
        <w:t>Board of Directors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rPr>
          <w:b w:val="0"/>
          <w:i w:val="0"/>
          <w:sz w:val="20"/>
        </w:rPr>
        <w:t>This Charter sets out the board's responsibilities for overseeing strategy, value creation and strategic risk. It is the apex document of the strategy governance hierarchy.</w:t>
      </w:r>
    </w:p>
    <w:p>
      <w:pPr>
        <w:pStyle w:val="Heading1"/>
      </w:pPr>
      <w:r>
        <w:t>2. The Board's Strategy Responsibilities</w:t>
      </w:r>
    </w:p>
    <w:p>
      <w:pPr>
        <w:pStyle w:val="ListBullet"/>
      </w:pPr>
      <w:r>
        <w:rPr>
          <w:sz w:val="19"/>
        </w:rPr>
        <w:t>Set and challenge the strategic direction and ambition</w:t>
      </w:r>
    </w:p>
    <w:p>
      <w:pPr>
        <w:pStyle w:val="ListBullet"/>
      </w:pPr>
      <w:r>
        <w:rPr>
          <w:sz w:val="19"/>
        </w:rPr>
        <w:t>Approve the strategy and the strategic plan</w:t>
      </w:r>
    </w:p>
    <w:p>
      <w:pPr>
        <w:pStyle w:val="ListBullet"/>
      </w:pPr>
      <w:r>
        <w:rPr>
          <w:sz w:val="19"/>
        </w:rPr>
        <w:t>Approve capital allocation and major strategic investments</w:t>
      </w:r>
    </w:p>
    <w:p>
      <w:pPr>
        <w:pStyle w:val="ListBullet"/>
      </w:pPr>
      <w:r>
        <w:rPr>
          <w:sz w:val="19"/>
        </w:rPr>
        <w:t>Oversee strategy execution and value creation</w:t>
      </w:r>
    </w:p>
    <w:p>
      <w:pPr>
        <w:pStyle w:val="ListBullet"/>
      </w:pPr>
      <w:r>
        <w:rPr>
          <w:sz w:val="19"/>
        </w:rPr>
        <w:t>Oversee strategic risk against appetite</w:t>
      </w:r>
    </w:p>
    <w:p>
      <w:pPr>
        <w:pStyle w:val="ListBullet"/>
      </w:pPr>
      <w:r>
        <w:rPr>
          <w:sz w:val="19"/>
        </w:rPr>
        <w:t>Approve major decisions beyond delegated authority (M&amp;A, market entry, divestment)</w:t>
      </w:r>
    </w:p>
    <w:p>
      <w:pPr>
        <w:pStyle w:val="ListBullet"/>
      </w:pPr>
      <w:r>
        <w:rPr>
          <w:sz w:val="19"/>
        </w:rPr>
        <w:t>Review the effectiveness of strategy oversight annually</w:t>
      </w:r>
    </w:p>
    <w:p>
      <w:pPr>
        <w:pStyle w:val="Heading1"/>
      </w:pPr>
      <w:r>
        <w:t>3. Delegation</w:t>
      </w:r>
    </w:p>
    <w:p>
      <w:r>
        <w:rPr>
          <w:b w:val="0"/>
          <w:i w:val="0"/>
          <w:sz w:val="20"/>
        </w:rPr>
        <w:t>The board delegates focused oversight to the Strategy Committee and detailed development to the executive, retaining accountability for the strategy and capital allocation.</w:t>
      </w:r>
    </w:p>
    <w:p>
      <w:pPr>
        <w:pStyle w:val="Heading1"/>
      </w:pPr>
      <w:r>
        <w:t>4. Information &amp; Cadence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720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Frequency</w:t>
            </w:r>
          </w:p>
        </w:tc>
      </w:tr>
      <w:tr>
        <w:tc>
          <w:tcPr>
            <w:tcW w:type="dxa" w:w="7200"/>
          </w:tcPr>
          <w:p>
            <w:r/>
            <w:r>
              <w:rPr>
                <w:rFonts w:ascii="Arial" w:hAnsi="Arial"/>
                <w:b w:val="0"/>
                <w:sz w:val="16"/>
              </w:rPr>
              <w:t>Strategy &amp; value-creation report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Quarterly</w:t>
            </w:r>
          </w:p>
        </w:tc>
      </w:tr>
      <w:tr>
        <w:tc>
          <w:tcPr>
            <w:tcW w:type="dxa" w:w="72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Full strategy review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Annually</w:t>
            </w:r>
          </w:p>
        </w:tc>
      </w:tr>
      <w:tr>
        <w:tc>
          <w:tcPr>
            <w:tcW w:type="dxa" w:w="7200"/>
          </w:tcPr>
          <w:p>
            <w:r/>
            <w:r>
              <w:rPr>
                <w:rFonts w:ascii="Arial" w:hAnsi="Arial"/>
                <w:b w:val="0"/>
                <w:sz w:val="16"/>
              </w:rPr>
              <w:t>Strategic risk review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Quarterly</w:t>
            </w:r>
          </w:p>
        </w:tc>
      </w:tr>
      <w:tr>
        <w:tc>
          <w:tcPr>
            <w:tcW w:type="dxa" w:w="72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Capital allocation review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Annually / as needed</w:t>
            </w:r>
          </w:p>
        </w:tc>
      </w:tr>
      <w:tr>
        <w:tc>
          <w:tcPr>
            <w:tcW w:type="dxa" w:w="7200"/>
          </w:tcPr>
          <w:p>
            <w:r/>
            <w:r>
              <w:rPr>
                <w:rFonts w:ascii="Arial" w:hAnsi="Arial"/>
                <w:b w:val="0"/>
                <w:sz w:val="16"/>
              </w:rPr>
              <w:t>Strategy oversight self-assessment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Annually</w:t>
            </w:r>
          </w:p>
        </w:tc>
      </w:tr>
    </w:tbl>
    <w:p>
      <w:pPr>
        <w:pStyle w:val="Heading1"/>
      </w:pPr>
      <w:r>
        <w:t>5. Review</w:t>
      </w:r>
    </w:p>
    <w:p>
      <w:r>
        <w:rPr>
          <w:b w:val="0"/>
          <w:i w:val="0"/>
          <w:sz w:val="20"/>
        </w:rPr>
        <w:t>This Charter is reviewed at least annually and updated for changes in strategy, structure or governance.</w:t>
      </w:r>
    </w:p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