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Analytics Playbook</w:t>
      </w:r>
    </w:p>
    <w:p>
      <w:r>
        <w:rPr>
          <w:i/>
          <w:color w:val="555555"/>
        </w:rPr>
        <w:t>Outliers Professionals — Data &amp; AI Centre™ · Playbook · Professional</w:t>
      </w:r>
    </w:p>
    <w:p>
      <w:r>
        <w:t>Resource ID: res_analytics_playbook    |    Audience: Data/AI &amp; business leaders</w:t>
      </w:r>
    </w:p>
    <w:p/>
    <w:p>
      <w:pPr>
        <w:pStyle w:val="Heading1"/>
      </w:pPr>
      <w:r>
        <w:t>Purpose</w:t>
      </w:r>
    </w:p>
    <w:p>
      <w:r>
        <w:t>This playbook — Analytics Playbook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KPI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Refresh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Current</w:t>
            </w:r>
          </w:p>
        </w:tc>
      </w:tr>
      <w:tr>
        <w:tc>
          <w:tcPr>
            <w:tcW w:type="dxa" w:w="1440"/>
          </w:tcPr>
          <w:p>
            <w:r>
              <w:t>Active monthly users (BI)</w:t>
            </w:r>
          </w:p>
        </w:tc>
        <w:tc>
          <w:tcPr>
            <w:tcW w:type="dxa" w:w="1440"/>
          </w:tcPr>
          <w:p>
            <w:r>
              <w:t>Head of Analytics</w:t>
            </w:r>
          </w:p>
        </w:tc>
        <w:tc>
          <w:tcPr>
            <w:tcW w:type="dxa" w:w="1440"/>
          </w:tcPr>
          <w:p>
            <w:r>
              <w:t>BI platform</w:t>
            </w:r>
          </w:p>
        </w:tc>
        <w:tc>
          <w:tcPr>
            <w:tcW w:type="dxa" w:w="1440"/>
          </w:tcPr>
          <w:p>
            <w:r>
              <w:t>Daily</w:t>
            </w:r>
          </w:p>
        </w:tc>
        <w:tc>
          <w:tcPr>
            <w:tcW w:type="dxa" w:w="1440"/>
          </w:tcPr>
          <w:p>
            <w:r>
              <w:t>1,200</w:t>
            </w:r>
          </w:p>
        </w:tc>
        <w:tc>
          <w:tcPr>
            <w:tcW w:type="dxa" w:w="1440"/>
          </w:tcPr>
          <w:p>
            <w:r>
              <w:t>980</w:t>
            </w:r>
          </w:p>
        </w:tc>
      </w:tr>
      <w:tr>
        <w:tc>
          <w:tcPr>
            <w:tcW w:type="dxa" w:w="1440"/>
          </w:tcPr>
          <w:p>
            <w:r>
              <w:t>Self-service certified datasets</w:t>
            </w:r>
          </w:p>
        </w:tc>
        <w:tc>
          <w:tcPr>
            <w:tcW w:type="dxa" w:w="1440"/>
          </w:tcPr>
          <w:p>
            <w:r>
              <w:t>Data Governance</w:t>
            </w:r>
          </w:p>
        </w:tc>
        <w:tc>
          <w:tcPr>
            <w:tcW w:type="dxa" w:w="1440"/>
          </w:tcPr>
          <w:p>
            <w:r>
              <w:t>Catalogue</w:t>
            </w:r>
          </w:p>
        </w:tc>
        <w:tc>
          <w:tcPr>
            <w:tcW w:type="dxa" w:w="1440"/>
          </w:tcPr>
          <w:p>
            <w:r>
              <w:t>Weekly</w:t>
            </w:r>
          </w:p>
        </w:tc>
        <w:tc>
          <w:tcPr>
            <w:tcW w:type="dxa" w:w="1440"/>
          </w:tcPr>
          <w:p>
            <w:r>
              <w:t>45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Decision adoption rate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Decision log</w:t>
            </w:r>
          </w:p>
        </w:tc>
        <w:tc>
          <w:tcPr>
            <w:tcW w:type="dxa" w:w="1440"/>
          </w:tcPr>
          <w:p>
            <w:r>
              <w:t>Monthly</w:t>
            </w:r>
          </w:p>
        </w:tc>
        <w:tc>
          <w:tcPr>
            <w:tcW w:type="dxa" w:w="1440"/>
          </w:tcPr>
          <w:p>
            <w:r>
              <w:t>75%</w:t>
            </w:r>
          </w:p>
        </w:tc>
        <w:tc>
          <w:tcPr>
            <w:tcW w:type="dxa" w:w="1440"/>
          </w:tcPr>
          <w:p>
            <w:r>
              <w:t>62%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