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ESG Strategy &amp; Materiality Toolkit™</w:t>
      </w:r>
    </w:p>
    <w:p>
      <w:pPr>
        <w:jc w:val="center"/>
      </w:pPr>
      <w:r>
        <w:rPr>
          <w:color w:val="C97B2C"/>
          <w:sz w:val="26"/>
        </w:rPr>
        <w:t>Set strategy and identify what matters most</w:t>
      </w:r>
    </w:p>
    <w:p/>
    <w:p/>
    <w:p>
      <w:pPr>
        <w:jc w:val="center"/>
      </w:pPr>
      <w:r>
        <w:rPr>
          <w:color w:val="555555"/>
          <w:sz w:val="20"/>
        </w:rPr>
        <w:t>Boards / CSO / Sustainability  ·  Flagship Edition 2026</w:t>
      </w:r>
    </w:p>
    <w:p>
      <w:pPr>
        <w:jc w:val="center"/>
      </w:pPr>
      <w:r>
        <w:rPr>
          <w:i/>
          <w:color w:val="555555"/>
          <w:sz w:val="18"/>
        </w:rPr>
        <w:t>Outliers Professionals Ltd — ESG &amp; Sustainability Centre Resource Library</w:t>
      </w:r>
    </w:p>
    <w:p>
      <w:r>
        <w:br w:type="page"/>
      </w:r>
    </w:p>
    <w:p>
      <w:pPr>
        <w:pStyle w:val="Heading1"/>
      </w:pPr>
      <w:r>
        <w:t>1. Executive Overview</w:t>
      </w:r>
    </w:p>
    <w:p>
      <w:r>
        <w:rPr>
          <w:b w:val="0"/>
          <w:i w:val="0"/>
          <w:sz w:val="20"/>
        </w:rPr>
        <w:t>This toolkit helps you set an ESG strategy anchored in materiality — what matters most to your stakeholders and your business — and link it to value, the SDGs and a clear roadmap.</w:t>
      </w:r>
    </w:p>
    <w:p>
      <w:r>
        <w:rPr>
          <w:b w:val="0"/>
          <w:i w:val="0"/>
          <w:sz w:val="19"/>
        </w:rPr>
        <w:t>This toolkit is part of the Outliers ESG &amp; Sustainability Centre™ and is anchored to GRI, ISSB, TCFD and the GHG Protocol (by name). It gives boards, sustainability teams and assurance providers an applied, end-to-end kit to set, deliver, measure and disclose ESG performance in this domain.</w:t>
      </w:r>
    </w:p>
    <w:p>
      <w:pPr>
        <w:pStyle w:val="Heading1"/>
      </w:pPr>
      <w:r>
        <w:t>2. Objectives</w:t>
      </w:r>
    </w:p>
    <w:p>
      <w:r>
        <w:rPr>
          <w:b w:val="0"/>
          <w:i w:val="0"/>
          <w:sz w:val="20"/>
        </w:rPr>
        <w:t>The outcomes this toolkit helps you achieve:</w:t>
      </w:r>
    </w:p>
    <w:p>
      <w:pPr>
        <w:pStyle w:val="ListBullet"/>
      </w:pPr>
      <w:r>
        <w:rPr>
          <w:sz w:val="19"/>
        </w:rPr>
        <w:t>Identify and prioritise material ESG topics</w:t>
      </w:r>
    </w:p>
    <w:p>
      <w:pPr>
        <w:pStyle w:val="ListBullet"/>
      </w:pPr>
      <w:r>
        <w:rPr>
          <w:sz w:val="19"/>
        </w:rPr>
        <w:t>Link ESG to business value and the SDGs</w:t>
      </w:r>
    </w:p>
    <w:p>
      <w:pPr>
        <w:pStyle w:val="ListBullet"/>
      </w:pPr>
      <w:r>
        <w:rPr>
          <w:sz w:val="19"/>
        </w:rPr>
        <w:t>Set ambition, targets and commitments</w:t>
      </w:r>
    </w:p>
    <w:p>
      <w:pPr>
        <w:pStyle w:val="ListBullet"/>
      </w:pPr>
      <w:r>
        <w:rPr>
          <w:sz w:val="19"/>
        </w:rPr>
        <w:t>Engage stakeholders effectively</w:t>
      </w:r>
    </w:p>
    <w:p>
      <w:pPr>
        <w:pStyle w:val="ListBullet"/>
      </w:pPr>
      <w:r>
        <w:rPr>
          <w:sz w:val="19"/>
        </w:rPr>
        <w:t>Build a governed ESG roadmap</w:t>
      </w:r>
    </w:p>
    <w:p>
      <w:pPr>
        <w:pStyle w:val="Heading1"/>
      </w:pPr>
      <w:r>
        <w:t>3. Governance</w:t>
      </w:r>
    </w:p>
    <w:p>
      <w:r>
        <w:rPr>
          <w:b w:val="0"/>
          <w:i w:val="0"/>
          <w:sz w:val="20"/>
        </w:rPr>
        <w:t>ESG strategy is owned by the board and CSO, developed by sustainability and embedded across the business:</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ESG Committee</w:t>
            </w:r>
          </w:p>
        </w:tc>
        <w:tc>
          <w:tcPr>
            <w:tcW w:type="dxa" w:w="8208"/>
          </w:tcPr>
          <w:p>
            <w:r/>
            <w:r>
              <w:rPr>
                <w:rFonts w:ascii="Arial" w:hAnsi="Arial"/>
                <w:b w:val="0"/>
                <w:sz w:val="16"/>
              </w:rPr>
              <w:t>Oversees ESG strategy, risk and disclosure</w:t>
            </w:r>
          </w:p>
        </w:tc>
      </w:tr>
      <w:tr>
        <w:tc>
          <w:tcPr>
            <w:tcW w:type="dxa" w:w="3312"/>
            <w:shd w:val="clear" w:fill="F4F7FB"/>
          </w:tcPr>
          <w:p>
            <w:r/>
            <w:r>
              <w:rPr>
                <w:rFonts w:ascii="Arial" w:hAnsi="Arial"/>
                <w:b w:val="0"/>
                <w:sz w:val="16"/>
              </w:rPr>
              <w:t>Executive / CSO</w:t>
            </w:r>
          </w:p>
        </w:tc>
        <w:tc>
          <w:tcPr>
            <w:tcW w:type="dxa" w:w="8208"/>
            <w:shd w:val="clear" w:fill="F4F7FB"/>
          </w:tcPr>
          <w:p>
            <w:r/>
            <w:r>
              <w:rPr>
                <w:rFonts w:ascii="Arial" w:hAnsi="Arial"/>
                <w:b w:val="0"/>
                <w:sz w:val="16"/>
              </w:rPr>
              <w:t>Owns ESG and the operating model</w:t>
            </w:r>
          </w:p>
        </w:tc>
      </w:tr>
      <w:tr>
        <w:tc>
          <w:tcPr>
            <w:tcW w:type="dxa" w:w="3312"/>
          </w:tcPr>
          <w:p>
            <w:r/>
            <w:r>
              <w:rPr>
                <w:rFonts w:ascii="Arial" w:hAnsi="Arial"/>
                <w:b w:val="0"/>
                <w:sz w:val="16"/>
              </w:rPr>
              <w:t>Sustainability function</w:t>
            </w:r>
          </w:p>
        </w:tc>
        <w:tc>
          <w:tcPr>
            <w:tcW w:type="dxa" w:w="8208"/>
          </w:tcPr>
          <w:p>
            <w:r/>
            <w:r>
              <w:rPr>
                <w:rFonts w:ascii="Arial" w:hAnsi="Arial"/>
                <w:b w:val="0"/>
                <w:sz w:val="16"/>
              </w:rPr>
              <w:t>Runs ESG programmes and reporting</w:t>
            </w:r>
          </w:p>
        </w:tc>
      </w:tr>
      <w:tr>
        <w:tc>
          <w:tcPr>
            <w:tcW w:type="dxa" w:w="3312"/>
            <w:shd w:val="clear" w:fill="F4F7FB"/>
          </w:tcPr>
          <w:p>
            <w:r/>
            <w:r>
              <w:rPr>
                <w:rFonts w:ascii="Arial" w:hAnsi="Arial"/>
                <w:b w:val="0"/>
                <w:sz w:val="16"/>
              </w:rPr>
              <w:t>Business &amp; functions</w:t>
            </w:r>
          </w:p>
        </w:tc>
        <w:tc>
          <w:tcPr>
            <w:tcW w:type="dxa" w:w="8208"/>
            <w:shd w:val="clear" w:fill="F4F7FB"/>
          </w:tcPr>
          <w:p>
            <w:r/>
            <w:r>
              <w:rPr>
                <w:rFonts w:ascii="Arial" w:hAnsi="Arial"/>
                <w:b w:val="0"/>
                <w:sz w:val="16"/>
              </w:rPr>
              <w:t>Deliver ESG in operations</w:t>
            </w:r>
          </w:p>
        </w:tc>
      </w:tr>
      <w:tr>
        <w:tc>
          <w:tcPr>
            <w:tcW w:type="dxa" w:w="3312"/>
          </w:tcPr>
          <w:p>
            <w:r/>
            <w:r>
              <w:rPr>
                <w:rFonts w:ascii="Arial" w:hAnsi="Arial"/>
                <w:b w:val="0"/>
                <w:sz w:val="16"/>
              </w:rPr>
              <w:t>Assurance / internal audit</w:t>
            </w:r>
          </w:p>
        </w:tc>
        <w:tc>
          <w:tcPr>
            <w:tcW w:type="dxa" w:w="8208"/>
          </w:tcPr>
          <w:p>
            <w:r/>
            <w:r>
              <w:rPr>
                <w:rFonts w:ascii="Arial" w:hAnsi="Arial"/>
                <w:b w:val="0"/>
                <w:sz w:val="16"/>
              </w:rPr>
              <w:t>Provides assurance over ESG</w:t>
            </w:r>
          </w:p>
        </w:tc>
      </w:tr>
    </w:tbl>
    <w:p>
      <w:pPr>
        <w:pStyle w:val="Heading1"/>
      </w:pPr>
      <w:r>
        <w:t>4. Control / Management Framework</w:t>
      </w:r>
    </w:p>
    <w:p>
      <w:r>
        <w:rPr>
          <w:b w:val="0"/>
          <w:i w:val="0"/>
          <w:sz w:val="20"/>
        </w:rPr>
        <w:t>The framework links ESG ambition to value through materiality. It covers vision, double-materiality assessment, stakeholder engagement, SDG alignment, targets and a roadmap — drawing on GRI and ISSB double-materiality thinking and the UN SDGs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unstandardised</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assured</w:t>
            </w:r>
          </w:p>
        </w:tc>
        <w:tc>
          <w:tcPr>
            <w:tcW w:type="dxa" w:w="2232"/>
          </w:tcPr>
          <w:p>
            <w:r/>
            <w:r>
              <w:rPr>
                <w:rFonts w:ascii="Arial" w:hAnsi="Arial"/>
                <w:b w:val="0"/>
                <w:sz w:val="16"/>
              </w:rPr>
              <w:t>Strategic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Board / ESG Committee</w:t>
            </w:r>
          </w:p>
        </w:tc>
        <w:tc>
          <w:tcPr>
            <w:tcW w:type="dxa" w:w="8064"/>
          </w:tcPr>
          <w:p>
            <w:r/>
            <w:r>
              <w:rPr>
                <w:rFonts w:ascii="Arial" w:hAnsi="Arial"/>
                <w:b w:val="0"/>
                <w:sz w:val="17"/>
              </w:rPr>
              <w:t>Approve strategy and material topics</w:t>
            </w:r>
          </w:p>
        </w:tc>
      </w:tr>
      <w:tr>
        <w:tc>
          <w:tcPr>
            <w:tcW w:type="dxa" w:w="3456"/>
            <w:shd w:val="clear" w:fill="F4F7FB"/>
          </w:tcPr>
          <w:p>
            <w:r/>
            <w:r>
              <w:rPr>
                <w:rFonts w:ascii="Arial" w:hAnsi="Arial"/>
                <w:b w:val="0"/>
                <w:sz w:val="17"/>
              </w:rPr>
              <w:t>Chief Sustainability Officer</w:t>
            </w:r>
          </w:p>
        </w:tc>
        <w:tc>
          <w:tcPr>
            <w:tcW w:type="dxa" w:w="8064"/>
            <w:shd w:val="clear" w:fill="F4F7FB"/>
          </w:tcPr>
          <w:p>
            <w:r/>
            <w:r>
              <w:rPr>
                <w:rFonts w:ascii="Arial" w:hAnsi="Arial"/>
                <w:b w:val="0"/>
                <w:sz w:val="17"/>
              </w:rPr>
              <w:t>Own ESG strategy and materiality</w:t>
            </w:r>
          </w:p>
        </w:tc>
      </w:tr>
      <w:tr>
        <w:tc>
          <w:tcPr>
            <w:tcW w:type="dxa" w:w="3456"/>
          </w:tcPr>
          <w:p>
            <w:r/>
            <w:r>
              <w:rPr>
                <w:rFonts w:ascii="Arial" w:hAnsi="Arial"/>
                <w:b w:val="0"/>
                <w:sz w:val="17"/>
              </w:rPr>
              <w:t>Sustainability team</w:t>
            </w:r>
          </w:p>
        </w:tc>
        <w:tc>
          <w:tcPr>
            <w:tcW w:type="dxa" w:w="8064"/>
          </w:tcPr>
          <w:p>
            <w:r/>
            <w:r>
              <w:rPr>
                <w:rFonts w:ascii="Arial" w:hAnsi="Arial"/>
                <w:b w:val="0"/>
                <w:sz w:val="17"/>
              </w:rPr>
              <w:t>Run materiality and engagement</w:t>
            </w:r>
          </w:p>
        </w:tc>
      </w:tr>
      <w:tr>
        <w:tc>
          <w:tcPr>
            <w:tcW w:type="dxa" w:w="3456"/>
            <w:shd w:val="clear" w:fill="F4F7FB"/>
          </w:tcPr>
          <w:p>
            <w:r/>
            <w:r>
              <w:rPr>
                <w:rFonts w:ascii="Arial" w:hAnsi="Arial"/>
                <w:b w:val="0"/>
                <w:sz w:val="17"/>
              </w:rPr>
              <w:t>Business units</w:t>
            </w:r>
          </w:p>
        </w:tc>
        <w:tc>
          <w:tcPr>
            <w:tcW w:type="dxa" w:w="8064"/>
            <w:shd w:val="clear" w:fill="F4F7FB"/>
          </w:tcPr>
          <w:p>
            <w:r/>
            <w:r>
              <w:rPr>
                <w:rFonts w:ascii="Arial" w:hAnsi="Arial"/>
                <w:b w:val="0"/>
                <w:sz w:val="17"/>
              </w:rPr>
              <w:t>Provide input and deliver</w:t>
            </w:r>
          </w:p>
        </w:tc>
      </w:tr>
      <w:tr>
        <w:tc>
          <w:tcPr>
            <w:tcW w:type="dxa" w:w="3456"/>
          </w:tcPr>
          <w:p>
            <w:r/>
            <w:r>
              <w:rPr>
                <w:rFonts w:ascii="Arial" w:hAnsi="Arial"/>
                <w:b w:val="0"/>
                <w:sz w:val="17"/>
              </w:rPr>
              <w:t>Investor relations</w:t>
            </w:r>
          </w:p>
        </w:tc>
        <w:tc>
          <w:tcPr>
            <w:tcW w:type="dxa" w:w="8064"/>
          </w:tcPr>
          <w:p>
            <w:r/>
            <w:r>
              <w:rPr>
                <w:rFonts w:ascii="Arial" w:hAnsi="Arial"/>
                <w:b w:val="0"/>
                <w:sz w:val="17"/>
              </w:rPr>
              <w:t>Engage investors on strategy</w:t>
            </w:r>
          </w:p>
        </w:tc>
      </w:tr>
    </w:tbl>
    <w:p>
      <w:pPr>
        <w:pStyle w:val="Heading1"/>
      </w:pPr>
      <w:r>
        <w:t>6. Risk-Control / Topic Matrix (sample)</w:t>
      </w:r>
    </w:p>
    <w:p>
      <w:r>
        <w:rPr>
          <w:b w:val="0"/>
          <w:i/>
          <w:sz w:val="19"/>
        </w:rPr>
        <w:t>Illustrative matrix of ESG topics/risks and the management responses. Full working versions ship as editable XLSX with owners, scores, targets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Topic / Risk</w:t>
            </w:r>
          </w:p>
        </w:tc>
        <w:tc>
          <w:tcPr>
            <w:tcW w:type="dxa" w:w="3744"/>
            <w:shd w:val="clear" w:fill="1B4D89"/>
          </w:tcPr>
          <w:p>
            <w:r/>
            <w:r>
              <w:rPr>
                <w:rFonts w:ascii="Arial" w:hAnsi="Arial"/>
                <w:b/>
                <w:color w:val="FFFFFF"/>
                <w:sz w:val="16"/>
              </w:rPr>
              <w:t>Management Response</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M-01</w:t>
            </w:r>
          </w:p>
        </w:tc>
        <w:tc>
          <w:tcPr>
            <w:tcW w:type="dxa" w:w="2880"/>
          </w:tcPr>
          <w:p>
            <w:r/>
            <w:r>
              <w:rPr>
                <w:rFonts w:ascii="Arial" w:hAnsi="Arial"/>
                <w:b w:val="0"/>
                <w:sz w:val="16"/>
              </w:rPr>
              <w:t>Climate &amp; emissions</w:t>
            </w:r>
          </w:p>
        </w:tc>
        <w:tc>
          <w:tcPr>
            <w:tcW w:type="dxa" w:w="3744"/>
          </w:tcPr>
          <w:p>
            <w:r/>
            <w:r>
              <w:rPr>
                <w:rFonts w:ascii="Arial" w:hAnsi="Arial"/>
                <w:b w:val="0"/>
                <w:sz w:val="16"/>
              </w:rPr>
              <w:t>Set ambition and transition plan</w:t>
            </w:r>
          </w:p>
        </w:tc>
        <w:tc>
          <w:tcPr>
            <w:tcW w:type="dxa" w:w="1728"/>
          </w:tcPr>
          <w:p>
            <w:r/>
            <w:r>
              <w:rPr>
                <w:rFonts w:ascii="Arial" w:hAnsi="Arial"/>
                <w:b w:val="0"/>
                <w:sz w:val="16"/>
              </w:rPr>
              <w:t>CSO</w:t>
            </w:r>
          </w:p>
        </w:tc>
        <w:tc>
          <w:tcPr>
            <w:tcW w:type="dxa" w:w="1296"/>
          </w:tcPr>
          <w:p>
            <w:r/>
            <w:r>
              <w:rPr>
                <w:rFonts w:ascii="Arial" w:hAnsi="Arial"/>
                <w:b w:val="0"/>
                <w:sz w:val="16"/>
              </w:rPr>
              <w:t>Annually</w:t>
            </w:r>
          </w:p>
        </w:tc>
        <w:tc>
          <w:tcPr>
            <w:tcW w:type="dxa" w:w="1296"/>
          </w:tcPr>
          <w:p>
            <w:r/>
            <w:r>
              <w:rPr>
                <w:rFonts w:ascii="Arial" w:hAnsi="Arial"/>
                <w:b w:val="0"/>
                <w:sz w:val="16"/>
              </w:rPr>
              <w:t>Strategic</w:t>
            </w:r>
          </w:p>
        </w:tc>
      </w:tr>
      <w:tr>
        <w:tc>
          <w:tcPr>
            <w:tcW w:type="dxa" w:w="864"/>
            <w:shd w:val="clear" w:fill="F4F7FB"/>
          </w:tcPr>
          <w:p>
            <w:r/>
            <w:r>
              <w:rPr>
                <w:rFonts w:ascii="Arial" w:hAnsi="Arial"/>
                <w:b w:val="0"/>
                <w:sz w:val="16"/>
              </w:rPr>
              <w:t>M-08</w:t>
            </w:r>
          </w:p>
        </w:tc>
        <w:tc>
          <w:tcPr>
            <w:tcW w:type="dxa" w:w="2880"/>
            <w:shd w:val="clear" w:fill="F4F7FB"/>
          </w:tcPr>
          <w:p>
            <w:r/>
            <w:r>
              <w:rPr>
                <w:rFonts w:ascii="Arial" w:hAnsi="Arial"/>
                <w:b w:val="0"/>
                <w:sz w:val="16"/>
              </w:rPr>
              <w:t>Human rights &amp; labour</w:t>
            </w:r>
          </w:p>
        </w:tc>
        <w:tc>
          <w:tcPr>
            <w:tcW w:type="dxa" w:w="3744"/>
            <w:shd w:val="clear" w:fill="F4F7FB"/>
          </w:tcPr>
          <w:p>
            <w:r/>
            <w:r>
              <w:rPr>
                <w:rFonts w:ascii="Arial" w:hAnsi="Arial"/>
                <w:b w:val="0"/>
                <w:sz w:val="16"/>
              </w:rPr>
              <w:t>Due diligence and standards</w:t>
            </w:r>
          </w:p>
        </w:tc>
        <w:tc>
          <w:tcPr>
            <w:tcW w:type="dxa" w:w="1728"/>
            <w:shd w:val="clear" w:fill="F4F7FB"/>
          </w:tcPr>
          <w:p>
            <w:r/>
            <w:r>
              <w:rPr>
                <w:rFonts w:ascii="Arial" w:hAnsi="Arial"/>
                <w:b w:val="0"/>
                <w:sz w:val="16"/>
              </w:rPr>
              <w:t>Sustainability</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M-11</w:t>
            </w:r>
          </w:p>
        </w:tc>
        <w:tc>
          <w:tcPr>
            <w:tcW w:type="dxa" w:w="2880"/>
          </w:tcPr>
          <w:p>
            <w:r/>
            <w:r>
              <w:rPr>
                <w:rFonts w:ascii="Arial" w:hAnsi="Arial"/>
                <w:b w:val="0"/>
                <w:sz w:val="16"/>
              </w:rPr>
              <w:t>Business ethics</w:t>
            </w:r>
          </w:p>
        </w:tc>
        <w:tc>
          <w:tcPr>
            <w:tcW w:type="dxa" w:w="3744"/>
          </w:tcPr>
          <w:p>
            <w:r/>
            <w:r>
              <w:rPr>
                <w:rFonts w:ascii="Arial" w:hAnsi="Arial"/>
                <w:b w:val="0"/>
                <w:sz w:val="16"/>
              </w:rPr>
              <w:t>Policy, training and oversight</w:t>
            </w:r>
          </w:p>
        </w:tc>
        <w:tc>
          <w:tcPr>
            <w:tcW w:type="dxa" w:w="1728"/>
          </w:tcPr>
          <w:p>
            <w:r/>
            <w:r>
              <w:rPr>
                <w:rFonts w:ascii="Arial" w:hAnsi="Arial"/>
                <w:b w:val="0"/>
                <w:sz w:val="16"/>
              </w:rPr>
              <w:t>Compliance</w:t>
            </w:r>
          </w:p>
        </w:tc>
        <w:tc>
          <w:tcPr>
            <w:tcW w:type="dxa" w:w="1296"/>
          </w:tcPr>
          <w:p>
            <w:r/>
            <w:r>
              <w:rPr>
                <w:rFonts w:ascii="Arial" w:hAnsi="Arial"/>
                <w:b w:val="0"/>
                <w:sz w:val="16"/>
              </w:rPr>
              <w:t>Ongoing</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M-14</w:t>
            </w:r>
          </w:p>
        </w:tc>
        <w:tc>
          <w:tcPr>
            <w:tcW w:type="dxa" w:w="2880"/>
            <w:shd w:val="clear" w:fill="F4F7FB"/>
          </w:tcPr>
          <w:p>
            <w:r/>
            <w:r>
              <w:rPr>
                <w:rFonts w:ascii="Arial" w:hAnsi="Arial"/>
                <w:b w:val="0"/>
                <w:sz w:val="16"/>
              </w:rPr>
              <w:t>Sustainable finance</w:t>
            </w:r>
          </w:p>
        </w:tc>
        <w:tc>
          <w:tcPr>
            <w:tcW w:type="dxa" w:w="3744"/>
            <w:shd w:val="clear" w:fill="F4F7FB"/>
          </w:tcPr>
          <w:p>
            <w:r/>
            <w:r>
              <w:rPr>
                <w:rFonts w:ascii="Arial" w:hAnsi="Arial"/>
                <w:b w:val="0"/>
                <w:sz w:val="16"/>
              </w:rPr>
              <w:t>Framework and use-of-proceeds</w:t>
            </w:r>
          </w:p>
        </w:tc>
        <w:tc>
          <w:tcPr>
            <w:tcW w:type="dxa" w:w="1728"/>
            <w:shd w:val="clear" w:fill="F4F7FB"/>
          </w:tcPr>
          <w:p>
            <w:r/>
            <w:r>
              <w:rPr>
                <w:rFonts w:ascii="Arial" w:hAnsi="Arial"/>
                <w:b w:val="0"/>
                <w:sz w:val="16"/>
              </w:rPr>
              <w:t>Finance</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Strategic</w:t>
            </w:r>
          </w:p>
        </w:tc>
      </w:tr>
    </w:tbl>
    <w:p>
      <w:pPr>
        <w:pStyle w:val="Heading1"/>
      </w:pPr>
      <w:r>
        <w:t>7. Sample Controls / Actions</w:t>
      </w:r>
    </w:p>
    <w:p>
      <w:pPr>
        <w:pStyle w:val="ListBullet"/>
      </w:pPr>
      <w:r>
        <w:rPr>
          <w:sz w:val="19"/>
        </w:rPr>
        <w:t>Double-materiality assessment refreshed periodically</w:t>
      </w:r>
    </w:p>
    <w:p>
      <w:pPr>
        <w:pStyle w:val="ListBullet"/>
      </w:pPr>
      <w:r>
        <w:rPr>
          <w:sz w:val="19"/>
        </w:rPr>
        <w:t>Stakeholder engagement plan operating</w:t>
      </w:r>
    </w:p>
    <w:p>
      <w:pPr>
        <w:pStyle w:val="ListBullet"/>
      </w:pPr>
      <w:r>
        <w:rPr>
          <w:sz w:val="19"/>
        </w:rPr>
        <w:t>ESG strategy linked to value and SDGs</w:t>
      </w:r>
    </w:p>
    <w:p>
      <w:pPr>
        <w:pStyle w:val="ListBullet"/>
      </w:pPr>
      <w:r>
        <w:rPr>
          <w:sz w:val="19"/>
        </w:rPr>
        <w:t>Targets and commitments set and owned</w:t>
      </w:r>
    </w:p>
    <w:p>
      <w:pPr>
        <w:pStyle w:val="ListBullet"/>
      </w:pPr>
      <w:r>
        <w:rPr>
          <w:sz w:val="19"/>
        </w:rPr>
        <w:t>ESG roadmap with governance</w:t>
      </w:r>
    </w:p>
    <w:p>
      <w:pPr>
        <w:pStyle w:val="Heading1"/>
      </w:pPr>
      <w:r>
        <w:t>8. Measurement &amp; Testing Approach</w:t>
      </w:r>
    </w:p>
    <w:p>
      <w:r>
        <w:rPr>
          <w:b w:val="0"/>
          <w:i w:val="0"/>
          <w:sz w:val="20"/>
        </w:rPr>
        <w:t>Measure performance against targets and test the reliability of ESG data and controls. Use the assessment scale: Effective / Partially effective / Ineffective for controls, and verified/estimated/unverified for data.</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Procedure</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Materiality</w:t>
            </w:r>
          </w:p>
        </w:tc>
        <w:tc>
          <w:tcPr>
            <w:tcW w:type="dxa" w:w="4320"/>
          </w:tcPr>
          <w:p>
            <w:r/>
            <w:r>
              <w:rPr>
                <w:rFonts w:ascii="Arial" w:hAnsi="Arial"/>
                <w:b w:val="0"/>
                <w:sz w:val="16"/>
              </w:rPr>
              <w:t>Review the materiality assessment for completeness and refresh</w:t>
            </w:r>
          </w:p>
        </w:tc>
        <w:tc>
          <w:tcPr>
            <w:tcW w:type="dxa" w:w="2160"/>
          </w:tcPr>
          <w:p>
            <w:r/>
            <w:r>
              <w:rPr>
                <w:rFonts w:ascii="Arial" w:hAnsi="Arial"/>
                <w:b w:val="0"/>
                <w:sz w:val="16"/>
              </w:rPr>
              <w:t>Full topic universe</w:t>
            </w:r>
          </w:p>
        </w:tc>
        <w:tc>
          <w:tcPr>
            <w:tcW w:type="dxa" w:w="1440"/>
          </w:tcPr>
          <w:p>
            <w:r/>
            <w:r>
              <w:rPr>
                <w:rFonts w:ascii="Arial" w:hAnsi="Arial"/>
                <w:b w:val="0"/>
                <w:sz w:val="16"/>
              </w:rPr>
              <w:t>Annually</w:t>
            </w:r>
          </w:p>
        </w:tc>
      </w:tr>
      <w:tr>
        <w:tc>
          <w:tcPr>
            <w:tcW w:type="dxa" w:w="2880"/>
            <w:shd w:val="clear" w:fill="F4F7FB"/>
          </w:tcPr>
          <w:p>
            <w:r/>
            <w:r>
              <w:rPr>
                <w:rFonts w:ascii="Arial" w:hAnsi="Arial"/>
                <w:b w:val="0"/>
                <w:sz w:val="16"/>
              </w:rPr>
              <w:t>Strategy linkage</w:t>
            </w:r>
          </w:p>
        </w:tc>
        <w:tc>
          <w:tcPr>
            <w:tcW w:type="dxa" w:w="4320"/>
            <w:shd w:val="clear" w:fill="F4F7FB"/>
          </w:tcPr>
          <w:p>
            <w:r/>
            <w:r>
              <w:rPr>
                <w:rFonts w:ascii="Arial" w:hAnsi="Arial"/>
                <w:b w:val="0"/>
                <w:sz w:val="16"/>
              </w:rPr>
              <w:t>Inspect linkage of material topics to value and targets</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Annually</w:t>
            </w:r>
          </w:p>
        </w:tc>
      </w:tr>
      <w:tr>
        <w:tc>
          <w:tcPr>
            <w:tcW w:type="dxa" w:w="2880"/>
          </w:tcPr>
          <w:p>
            <w:r/>
            <w:r>
              <w:rPr>
                <w:rFonts w:ascii="Arial" w:hAnsi="Arial"/>
                <w:b w:val="0"/>
                <w:sz w:val="16"/>
              </w:rPr>
              <w:t>Stakeholder input</w:t>
            </w:r>
          </w:p>
        </w:tc>
        <w:tc>
          <w:tcPr>
            <w:tcW w:type="dxa" w:w="4320"/>
          </w:tcPr>
          <w:p>
            <w:r/>
            <w:r>
              <w:rPr>
                <w:rFonts w:ascii="Arial" w:hAnsi="Arial"/>
                <w:b w:val="0"/>
                <w:sz w:val="16"/>
              </w:rPr>
              <w:t>Review engagement records and how input shaped priorities</w:t>
            </w:r>
          </w:p>
        </w:tc>
        <w:tc>
          <w:tcPr>
            <w:tcW w:type="dxa" w:w="2160"/>
          </w:tcPr>
          <w:p>
            <w:r/>
            <w:r>
              <w:rPr>
                <w:rFonts w:ascii="Arial" w:hAnsi="Arial"/>
                <w:b w:val="0"/>
                <w:sz w:val="16"/>
              </w:rPr>
              <w:t>Sample</w:t>
            </w:r>
          </w:p>
        </w:tc>
        <w:tc>
          <w:tcPr>
            <w:tcW w:type="dxa" w:w="1440"/>
          </w:tcPr>
          <w:p>
            <w:r/>
            <w:r>
              <w:rPr>
                <w:rFonts w:ascii="Arial" w:hAnsi="Arial"/>
                <w:b w:val="0"/>
                <w:sz w:val="16"/>
              </w:rPr>
              <w:t>Annually</w:t>
            </w:r>
          </w:p>
        </w:tc>
      </w:tr>
    </w:tbl>
    <w:p>
      <w:r>
        <w:rPr>
          <w:b w:val="0"/>
          <w:i/>
          <w:sz w:val="18"/>
        </w:rPr>
        <w:t>Record results in the relevant workbook (e.g. ESG KPI Workbook, ESG Data Collection Workbook) and track gaps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Run double-materiality and engage stakeholders</w:t>
            </w:r>
          </w:p>
        </w:tc>
        <w:tc>
          <w:tcPr>
            <w:tcW w:type="dxa" w:w="4320"/>
          </w:tcPr>
          <w:p>
            <w:r/>
            <w:r>
              <w:rPr>
                <w:rFonts w:ascii="Arial" w:hAnsi="Arial"/>
                <w:b w:val="0"/>
                <w:sz w:val="17"/>
              </w:rPr>
              <w:t>Prioritised material topics</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Set ambition, targets and SDG alignment</w:t>
            </w:r>
          </w:p>
        </w:tc>
        <w:tc>
          <w:tcPr>
            <w:tcW w:type="dxa" w:w="4320"/>
            <w:shd w:val="clear" w:fill="F4F7FB"/>
          </w:tcPr>
          <w:p>
            <w:r/>
            <w:r>
              <w:rPr>
                <w:rFonts w:ascii="Arial" w:hAnsi="Arial"/>
                <w:b w:val="0"/>
                <w:sz w:val="17"/>
              </w:rPr>
              <w:t>ESG strategy</w:t>
            </w:r>
          </w:p>
        </w:tc>
      </w:tr>
      <w:tr>
        <w:tc>
          <w:tcPr>
            <w:tcW w:type="dxa" w:w="1872"/>
          </w:tcPr>
          <w:p>
            <w:r/>
            <w:r>
              <w:rPr>
                <w:rFonts w:ascii="Arial" w:hAnsi="Arial"/>
                <w:b w:val="0"/>
                <w:sz w:val="17"/>
              </w:rPr>
              <w:t>Phase 3</w:t>
            </w:r>
          </w:p>
        </w:tc>
        <w:tc>
          <w:tcPr>
            <w:tcW w:type="dxa" w:w="5328"/>
          </w:tcPr>
          <w:p>
            <w:r/>
            <w:r>
              <w:rPr>
                <w:rFonts w:ascii="Arial" w:hAnsi="Arial"/>
                <w:b w:val="0"/>
                <w:sz w:val="17"/>
              </w:rPr>
              <w:t>Build the roadmap and governance</w:t>
            </w:r>
          </w:p>
        </w:tc>
        <w:tc>
          <w:tcPr>
            <w:tcW w:type="dxa" w:w="4320"/>
          </w:tcPr>
          <w:p>
            <w:r/>
            <w:r>
              <w:rPr>
                <w:rFonts w:ascii="Arial" w:hAnsi="Arial"/>
                <w:b w:val="0"/>
                <w:sz w:val="17"/>
              </w:rPr>
              <w:t>Actionable plan</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Embed, measure and refresh</w:t>
            </w:r>
          </w:p>
        </w:tc>
        <w:tc>
          <w:tcPr>
            <w:tcW w:type="dxa" w:w="4320"/>
            <w:shd w:val="clear" w:fill="F4F7FB"/>
          </w:tcPr>
          <w:p>
            <w:r/>
            <w:r>
              <w:rPr>
                <w:rFonts w:ascii="Arial" w:hAnsi="Arial"/>
                <w:b w:val="0"/>
                <w:sz w:val="17"/>
              </w:rPr>
              <w:t>Living strategy</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Materiality Assessment Matrix (XLSX)</w:t>
      </w:r>
    </w:p>
    <w:p>
      <w:pPr>
        <w:pStyle w:val="ListBullet"/>
      </w:pPr>
      <w:r>
        <w:rPr>
          <w:sz w:val="19"/>
        </w:rPr>
        <w:t>Double Materiality Assessment (XLSX)</w:t>
      </w:r>
    </w:p>
    <w:p>
      <w:pPr>
        <w:pStyle w:val="ListBullet"/>
      </w:pPr>
      <w:r>
        <w:rPr>
          <w:sz w:val="19"/>
        </w:rPr>
        <w:t>ESG Strategy Template</w:t>
      </w:r>
    </w:p>
    <w:p>
      <w:pPr>
        <w:pStyle w:val="ListBullet"/>
      </w:pPr>
      <w:r>
        <w:rPr>
          <w:sz w:val="19"/>
        </w:rPr>
        <w:t>Stakeholder Engagement Plan Template</w:t>
      </w:r>
    </w:p>
    <w:p>
      <w:pPr>
        <w:pStyle w:val="ListBullet"/>
      </w:pPr>
      <w:r>
        <w:rPr>
          <w:sz w:val="19"/>
        </w:rPr>
        <w:t>SDG Alignment &amp; Mapping Template</w:t>
      </w:r>
    </w:p>
    <w:p>
      <w:pPr>
        <w:pStyle w:val="Heading1"/>
      </w:pPr>
      <w:r>
        <w:t>11. Checklists</w:t>
      </w:r>
    </w:p>
    <w:p>
      <w:pPr>
        <w:ind w:left="288"/>
      </w:pPr>
      <w:r>
        <w:rPr>
          <w:sz w:val="19"/>
        </w:rPr>
        <w:t>☐  Material topics identified via double materiality</w:t>
      </w:r>
    </w:p>
    <w:p>
      <w:pPr>
        <w:ind w:left="288"/>
      </w:pPr>
      <w:r>
        <w:rPr>
          <w:sz w:val="19"/>
        </w:rPr>
        <w:t>☐  Stakeholders engaged and inputs captured</w:t>
      </w:r>
    </w:p>
    <w:p>
      <w:pPr>
        <w:ind w:left="288"/>
      </w:pPr>
      <w:r>
        <w:rPr>
          <w:sz w:val="19"/>
        </w:rPr>
        <w:t>☐  ESG strategy linked to value drivers</w:t>
      </w:r>
    </w:p>
    <w:p>
      <w:pPr>
        <w:ind w:left="288"/>
      </w:pPr>
      <w:r>
        <w:rPr>
          <w:sz w:val="19"/>
        </w:rPr>
        <w:t>☐  SDG alignment mapped</w:t>
      </w:r>
    </w:p>
    <w:p>
      <w:pPr>
        <w:ind w:left="288"/>
      </w:pPr>
      <w:r>
        <w:rPr>
          <w:sz w:val="19"/>
        </w:rPr>
        <w:t>☐  Targets and commitments set</w:t>
      </w:r>
    </w:p>
    <w:p>
      <w:pPr>
        <w:ind w:left="288"/>
      </w:pPr>
      <w:r>
        <w:rPr>
          <w:sz w:val="19"/>
        </w:rPr>
        <w:t>☐  Roadmap built with owners and milestones</w:t>
      </w:r>
    </w:p>
    <w:p>
      <w:pPr>
        <w:ind w:left="288"/>
      </w:pPr>
      <w:r>
        <w:rPr>
          <w:sz w:val="19"/>
        </w:rPr>
        <w:t>☐  Governance and board approval in place</w:t>
      </w:r>
    </w:p>
    <w:p>
      <w:pPr>
        <w:ind w:left="288"/>
      </w:pPr>
      <w:r>
        <w:rPr>
          <w:sz w:val="19"/>
        </w:rPr>
        <w:t>☐  Strategy embedded and refreshed</w:t>
      </w:r>
    </w:p>
    <w:p>
      <w:pPr>
        <w:pStyle w:val="Heading1"/>
      </w:pPr>
      <w:r>
        <w:t>12. Board Reporting Examples</w:t>
      </w:r>
    </w:p>
    <w:p>
      <w:r>
        <w:rPr>
          <w:b w:val="0"/>
          <w:i w:val="0"/>
          <w:sz w:val="19"/>
        </w:rPr>
        <w:t>Standard ESG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ESG maturity index</w:t>
            </w:r>
          </w:p>
        </w:tc>
        <w:tc>
          <w:tcPr>
            <w:tcW w:type="dxa" w:w="1440"/>
          </w:tcPr>
          <w:p>
            <w:r/>
            <w:r>
              <w:rPr>
                <w:rFonts w:ascii="Arial" w:hAnsi="Arial"/>
                <w:b w:val="0"/>
                <w:sz w:val="16"/>
              </w:rPr>
              <w:t>62</w:t>
            </w:r>
          </w:p>
        </w:tc>
        <w:tc>
          <w:tcPr>
            <w:tcW w:type="dxa" w:w="1440"/>
          </w:tcPr>
          <w:p>
            <w:r/>
            <w:r>
              <w:rPr>
                <w:rFonts w:ascii="Arial" w:hAnsi="Arial"/>
                <w:b w:val="0"/>
                <w:sz w:val="16"/>
              </w:rPr>
              <w:t>75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Advance to Managed</w:t>
            </w:r>
          </w:p>
        </w:tc>
      </w:tr>
      <w:tr>
        <w:tc>
          <w:tcPr>
            <w:tcW w:type="dxa" w:w="3168"/>
            <w:shd w:val="clear" w:fill="F4F7FB"/>
          </w:tcPr>
          <w:p>
            <w:r/>
            <w:r>
              <w:rPr>
                <w:rFonts w:ascii="Arial" w:hAnsi="Arial"/>
                <w:b w:val="0"/>
                <w:sz w:val="16"/>
              </w:rPr>
              <w:t>Material topics governed</w:t>
            </w:r>
          </w:p>
        </w:tc>
        <w:tc>
          <w:tcPr>
            <w:tcW w:type="dxa" w:w="1440"/>
            <w:shd w:val="clear" w:fill="F4F7FB"/>
          </w:tcPr>
          <w:p>
            <w:r/>
            <w:r>
              <w:rPr>
                <w:rFonts w:ascii="Arial" w:hAnsi="Arial"/>
                <w:b w:val="0"/>
                <w:sz w:val="16"/>
              </w:rPr>
              <w:t>100%</w:t>
            </w:r>
          </w:p>
        </w:tc>
        <w:tc>
          <w:tcPr>
            <w:tcW w:type="dxa" w:w="1440"/>
            <w:shd w:val="clear" w:fill="F4F7FB"/>
          </w:tcPr>
          <w:p>
            <w:r/>
            <w:r>
              <w:rPr>
                <w:rFonts w:ascii="Arial" w:hAnsi="Arial"/>
                <w:b w:val="0"/>
                <w:sz w:val="16"/>
              </w:rPr>
              <w:t>100%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3168"/>
          </w:tcPr>
          <w:p>
            <w:r/>
            <w:r>
              <w:rPr>
                <w:rFonts w:ascii="Arial" w:hAnsi="Arial"/>
                <w:b w:val="0"/>
                <w:sz w:val="16"/>
              </w:rPr>
              <w:t>Targets set</w:t>
            </w:r>
          </w:p>
        </w:tc>
        <w:tc>
          <w:tcPr>
            <w:tcW w:type="dxa" w:w="1440"/>
          </w:tcPr>
          <w:p>
            <w:r/>
            <w:r>
              <w:rPr>
                <w:rFonts w:ascii="Arial" w:hAnsi="Arial"/>
                <w:b w:val="0"/>
                <w:sz w:val="16"/>
              </w:rPr>
              <w:t>80%</w:t>
            </w:r>
          </w:p>
        </w:tc>
        <w:tc>
          <w:tcPr>
            <w:tcW w:type="dxa" w:w="1440"/>
          </w:tcPr>
          <w:p>
            <w:r/>
            <w:r>
              <w:rPr>
                <w:rFonts w:ascii="Arial" w:hAnsi="Arial"/>
                <w:b w:val="0"/>
                <w:sz w:val="16"/>
              </w:rPr>
              <w:t>100%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Complete target-setting</w:t>
            </w:r>
          </w:p>
        </w:tc>
      </w:tr>
      <w:tr>
        <w:tc>
          <w:tcPr>
            <w:tcW w:type="dxa" w:w="3168"/>
            <w:shd w:val="clear" w:fill="F4F7FB"/>
          </w:tcPr>
          <w:p>
            <w:r/>
            <w:r>
              <w:rPr>
                <w:rFonts w:ascii="Arial" w:hAnsi="Arial"/>
                <w:b w:val="0"/>
                <w:sz w:val="16"/>
              </w:rPr>
              <w:t>SDG alignment</w:t>
            </w:r>
          </w:p>
        </w:tc>
        <w:tc>
          <w:tcPr>
            <w:tcW w:type="dxa" w:w="1440"/>
            <w:shd w:val="clear" w:fill="F4F7FB"/>
          </w:tcPr>
          <w:p>
            <w:r/>
            <w:r>
              <w:rPr>
                <w:rFonts w:ascii="Arial" w:hAnsi="Arial"/>
                <w:b w:val="0"/>
                <w:sz w:val="16"/>
              </w:rPr>
              <w:t>Partial</w:t>
            </w:r>
          </w:p>
        </w:tc>
        <w:tc>
          <w:tcPr>
            <w:tcW w:type="dxa" w:w="1440"/>
            <w:shd w:val="clear" w:fill="F4F7FB"/>
          </w:tcPr>
          <w:p>
            <w:r/>
            <w:r>
              <w:rPr>
                <w:rFonts w:ascii="Arial" w:hAnsi="Arial"/>
                <w:b w:val="0"/>
                <w:sz w:val="16"/>
              </w:rPr>
              <w:t>Mapped</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Complete mapping</w:t>
            </w:r>
          </w:p>
        </w:tc>
      </w:tr>
    </w:tbl>
    <w:p>
      <w:pPr>
        <w:pStyle w:val="Heading1"/>
      </w:pPr>
      <w:r>
        <w:t>13. Board / ESG Committee Reporting</w:t>
      </w:r>
    </w:p>
    <w:p>
      <w:r>
        <w:rPr>
          <w:b w:val="0"/>
          <w:i/>
          <w:sz w:val="19"/>
        </w:rPr>
        <w:t>Illustrative one-page summary for the board / ESG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ESG strategy</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Defined; advancing to Managed</w:t>
            </w:r>
          </w:p>
        </w:tc>
      </w:tr>
      <w:tr>
        <w:tc>
          <w:tcPr>
            <w:tcW w:type="dxa" w:w="2736"/>
            <w:shd w:val="clear" w:fill="F4F7FB"/>
          </w:tcPr>
          <w:p>
            <w:r/>
            <w:r>
              <w:rPr>
                <w:rFonts w:ascii="Arial" w:hAnsi="Arial"/>
                <w:b w:val="0"/>
                <w:sz w:val="16"/>
              </w:rPr>
              <w:t>Materiality</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Refreshed and governed</w:t>
            </w:r>
          </w:p>
        </w:tc>
      </w:tr>
      <w:tr>
        <w:tc>
          <w:tcPr>
            <w:tcW w:type="dxa" w:w="2736"/>
          </w:tcPr>
          <w:p>
            <w:r/>
            <w:r>
              <w:rPr>
                <w:rFonts w:ascii="Arial" w:hAnsi="Arial"/>
                <w:b w:val="0"/>
                <w:sz w:val="16"/>
              </w:rPr>
              <w:t>Targets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Being completed</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targets and roadmap</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ESG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Performance at or above target; well managed</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Performance below target or partially managed</w:t>
            </w:r>
          </w:p>
        </w:tc>
        <w:tc>
          <w:tcPr>
            <w:tcW w:type="dxa" w:w="2880"/>
            <w:shd w:val="clear" w:fill="F4F7FB"/>
          </w:tcPr>
          <w:p>
            <w:r/>
            <w:r>
              <w:rPr>
                <w:rFonts w:ascii="Arial" w:hAnsi="Arial"/>
                <w:b w:val="0"/>
                <w:sz w:val="16"/>
              </w:rPr>
              <w:t>Improve and re-measure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Significantly below target or unmanaged risk</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