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Payment Factory Blueprint</w:t>
      </w:r>
    </w:p>
    <w:p>
      <w:r>
        <w:rPr>
          <w:rFonts w:ascii="Arial" w:hAnsi="Arial"/>
          <w:b/>
          <w:sz w:val="22"/>
        </w:rPr>
        <w:t>Toolkit · Bank Relationship Management · Enterprise tier</w:t>
      </w:r>
    </w:p>
    <w:p>
      <w:r>
        <w:rPr>
          <w:rFonts w:ascii="Arial" w:hAnsi="Arial"/>
          <w:sz w:val="22"/>
        </w:rPr>
        <w:t>Centralise payments through a single factory with on-behalf-of structures.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Target operating model, technology architecture, accounting treatment and tax considerations for a payment factory.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ListBullet"/>
      </w:pPr>
      <w:r>
        <w:rPr>
          <w:rFonts w:ascii="Arial" w:hAnsi="Arial"/>
          <w:sz w:val="22"/>
        </w:rPr>
        <w:t>CFO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Bank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Service Tier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Wallet Share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Service Score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Credit Score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Strategic Value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Lead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Operating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21%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Medium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Specialist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3.6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8%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3.9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Low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Payment factory</w:t>
      </w:r>
    </w:p>
    <w:p>
      <w:pPr>
        <w:pStyle w:val="ListBullet"/>
      </w:pPr>
      <w:r>
        <w:rPr>
          <w:rFonts w:ascii="Arial" w:hAnsi="Arial"/>
          <w:sz w:val="22"/>
        </w:rPr>
        <w:t>OBO</w:t>
      </w:r>
    </w:p>
    <w:p>
      <w:pPr>
        <w:pStyle w:val="ListBullet"/>
      </w:pPr>
      <w:r>
        <w:rPr>
          <w:rFonts w:ascii="Arial" w:hAnsi="Arial"/>
          <w:sz w:val="22"/>
        </w:rPr>
        <w:t>POBO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