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1B4D89"/>
          <w:sz w:val="24"/>
        </w:rPr>
        <w:t>OUTLIERS CORPORATE GOVERNANCE CENTRE™</w:t>
      </w:r>
    </w:p>
    <w:p>
      <w:pPr>
        <w:jc w:val="center"/>
      </w:pPr>
      <w:r>
        <w:rPr>
          <w:b/>
          <w:color w:val="10243F"/>
          <w:sz w:val="48"/>
        </w:rPr>
        <w:t>Board Evaluation Toolkit™</w:t>
      </w:r>
    </w:p>
    <w:p>
      <w:pPr>
        <w:jc w:val="center"/>
      </w:pPr>
      <w:r>
        <w:rPr>
          <w:color w:val="C97B2C"/>
          <w:sz w:val="26"/>
        </w:rPr>
        <w:t>Evaluate board, committee and director performance</w:t>
      </w:r>
    </w:p>
    <w:p/>
    <w:p/>
    <w:p>
      <w:pPr>
        <w:jc w:val="center"/>
      </w:pPr>
      <w:r>
        <w:rPr>
          <w:color w:val="555555"/>
          <w:sz w:val="20"/>
        </w:rPr>
        <w:t>Board Chair / Company Secretary / Governance Committee  ·  Flagship Edition 2026</w:t>
      </w:r>
    </w:p>
    <w:p>
      <w:pPr>
        <w:jc w:val="center"/>
      </w:pPr>
      <w:r>
        <w:rPr>
          <w:i/>
          <w:color w:val="555555"/>
          <w:sz w:val="17"/>
        </w:rPr>
        <w:t>Nigeria-anchored: NCCG 2018 · FRCN · SEC · CBN · NAICOM · CAC · CAMA  ·  Aligned to OECD · IFC · King IV · ISO 37000</w:t>
      </w:r>
    </w:p>
    <w:p>
      <w:r>
        <w:br w:type="page"/>
      </w:r>
    </w:p>
    <w:p>
      <w:pPr>
        <w:pStyle w:val="Heading1"/>
      </w:pPr>
      <w:r>
        <w:t>1. Full Guide</w:t>
      </w:r>
    </w:p>
    <w:p>
      <w:r>
        <w:rPr>
          <w:b w:val="0"/>
          <w:i w:val="0"/>
          <w:sz w:val="20"/>
        </w:rPr>
        <w:t>This toolkit enables a rigorous, code-aligned evaluation of the board, its committees and individual directors — covering scope, method, criteria, feedback and action, consistent with NCCG 2018 board-evaluation expectations and FRCN guidance.</w:t>
      </w:r>
    </w:p>
    <w:p>
      <w:pPr>
        <w:pStyle w:val="Heading2"/>
      </w:pPr>
      <w:r>
        <w:t>Operating lifecycle</w:t>
      </w:r>
    </w:p>
    <w:p>
      <w:pPr>
        <w:pStyle w:val="ListNumber"/>
      </w:pPr>
      <w:r>
        <w:rPr>
          <w:sz w:val="19"/>
        </w:rPr>
        <w:t>Scope — define what is being evaluated and how</w:t>
      </w:r>
    </w:p>
    <w:p>
      <w:pPr>
        <w:pStyle w:val="ListNumber"/>
      </w:pPr>
      <w:r>
        <w:rPr>
          <w:sz w:val="19"/>
        </w:rPr>
        <w:t>Collect — gather evidence (questionnaires, interviews)</w:t>
      </w:r>
    </w:p>
    <w:p>
      <w:pPr>
        <w:pStyle w:val="ListNumber"/>
      </w:pPr>
      <w:r>
        <w:rPr>
          <w:sz w:val="19"/>
        </w:rPr>
        <w:t>Analyse — assess against criteria</w:t>
      </w:r>
    </w:p>
    <w:p>
      <w:pPr>
        <w:pStyle w:val="ListNumber"/>
      </w:pPr>
      <w:r>
        <w:rPr>
          <w:sz w:val="19"/>
        </w:rPr>
        <w:t>Feedback — report findings to the board</w:t>
      </w:r>
    </w:p>
    <w:p>
      <w:pPr>
        <w:pStyle w:val="ListNumber"/>
      </w:pPr>
      <w:r>
        <w:rPr>
          <w:sz w:val="19"/>
        </w:rPr>
        <w:t>Act — agree and track improvement actions</w:t>
      </w:r>
    </w:p>
    <w:p>
      <w:pPr>
        <w:pStyle w:val="Heading2"/>
      </w:pPr>
      <w:r>
        <w:t>Maturity model</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2232"/>
            <w:shd w:val="clear" w:fill="1B4D89"/>
          </w:tcPr>
          <w:p>
            <w:r/>
            <w:r>
              <w:rPr>
                <w:rFonts w:ascii="Arial" w:hAnsi="Arial"/>
                <w:b/>
                <w:color w:val="FFFFFF"/>
                <w:sz w:val="16"/>
              </w:rPr>
              <w:t>L1 Initial</w:t>
            </w:r>
          </w:p>
        </w:tc>
        <w:tc>
          <w:tcPr>
            <w:tcW w:type="dxa" w:w="2232"/>
            <w:shd w:val="clear" w:fill="1B4D89"/>
          </w:tcPr>
          <w:p>
            <w:r/>
            <w:r>
              <w:rPr>
                <w:rFonts w:ascii="Arial" w:hAnsi="Arial"/>
                <w:b/>
                <w:color w:val="FFFFFF"/>
                <w:sz w:val="16"/>
              </w:rPr>
              <w:t>L2 Developing</w:t>
            </w:r>
          </w:p>
        </w:tc>
        <w:tc>
          <w:tcPr>
            <w:tcW w:type="dxa" w:w="2232"/>
            <w:shd w:val="clear" w:fill="1B4D89"/>
          </w:tcPr>
          <w:p>
            <w:r/>
            <w:r>
              <w:rPr>
                <w:rFonts w:ascii="Arial" w:hAnsi="Arial"/>
                <w:b/>
                <w:color w:val="FFFFFF"/>
                <w:sz w:val="16"/>
              </w:rPr>
              <w:t>L3 Defined</w:t>
            </w:r>
          </w:p>
        </w:tc>
        <w:tc>
          <w:tcPr>
            <w:tcW w:type="dxa" w:w="2232"/>
            <w:shd w:val="clear" w:fill="1B4D89"/>
          </w:tcPr>
          <w:p>
            <w:r/>
            <w:r>
              <w:rPr>
                <w:rFonts w:ascii="Arial" w:hAnsi="Arial"/>
                <w:b/>
                <w:color w:val="FFFFFF"/>
                <w:sz w:val="16"/>
              </w:rPr>
              <w:t>L4 Managed</w:t>
            </w:r>
          </w:p>
        </w:tc>
        <w:tc>
          <w:tcPr>
            <w:tcW w:type="dxa" w:w="2232"/>
            <w:shd w:val="clear" w:fill="1B4D89"/>
          </w:tcPr>
          <w:p>
            <w:r/>
            <w:r>
              <w:rPr>
                <w:rFonts w:ascii="Arial" w:hAnsi="Arial"/>
                <w:b/>
                <w:color w:val="FFFFFF"/>
                <w:sz w:val="16"/>
              </w:rPr>
              <w:t>L5 Optimised</w:t>
            </w:r>
          </w:p>
        </w:tc>
      </w:tr>
      <w:tr>
        <w:tc>
          <w:tcPr>
            <w:tcW w:type="dxa" w:w="2232"/>
          </w:tcPr>
          <w:p>
            <w:r/>
            <w:r>
              <w:rPr>
                <w:rFonts w:ascii="Arial" w:hAnsi="Arial"/>
                <w:b w:val="0"/>
                <w:sz w:val="16"/>
              </w:rPr>
              <w:t>Informal / non-compliant</w:t>
            </w:r>
          </w:p>
        </w:tc>
        <w:tc>
          <w:tcPr>
            <w:tcW w:type="dxa" w:w="2232"/>
          </w:tcPr>
          <w:p>
            <w:r/>
            <w:r>
              <w:rPr>
                <w:rFonts w:ascii="Arial" w:hAnsi="Arial"/>
                <w:b w:val="0"/>
                <w:sz w:val="16"/>
              </w:rPr>
              <w:t>Basic, inconsistent</w:t>
            </w:r>
          </w:p>
        </w:tc>
        <w:tc>
          <w:tcPr>
            <w:tcW w:type="dxa" w:w="2232"/>
          </w:tcPr>
          <w:p>
            <w:r/>
            <w:r>
              <w:rPr>
                <w:rFonts w:ascii="Arial" w:hAnsi="Arial"/>
                <w:b w:val="0"/>
                <w:sz w:val="16"/>
              </w:rPr>
              <w:t>Code-aligned &amp; consistent</w:t>
            </w:r>
          </w:p>
        </w:tc>
        <w:tc>
          <w:tcPr>
            <w:tcW w:type="dxa" w:w="2232"/>
          </w:tcPr>
          <w:p>
            <w:r/>
            <w:r>
              <w:rPr>
                <w:rFonts w:ascii="Arial" w:hAnsi="Arial"/>
                <w:b w:val="0"/>
                <w:sz w:val="16"/>
              </w:rPr>
              <w:t>Measured &amp; assured</w:t>
            </w:r>
          </w:p>
        </w:tc>
        <w:tc>
          <w:tcPr>
            <w:tcW w:type="dxa" w:w="2232"/>
          </w:tcPr>
          <w:p>
            <w:r/>
            <w:r>
              <w:rPr>
                <w:rFonts w:ascii="Arial" w:hAnsi="Arial"/>
                <w:b w:val="0"/>
                <w:sz w:val="16"/>
              </w:rPr>
              <w:t>Leading-practice &amp; value-creating</w:t>
            </w:r>
          </w:p>
        </w:tc>
      </w:tr>
    </w:tbl>
    <w:p>
      <w:pPr>
        <w:pStyle w:val="Heading2"/>
      </w:pPr>
      <w:r>
        <w:t>Key components</w:t>
      </w:r>
    </w:p>
    <w:p>
      <w:pPr>
        <w:pStyle w:val="ListBullet"/>
      </w:pPr>
      <w:r>
        <w:rPr>
          <w:sz w:val="19"/>
        </w:rPr>
        <w:t>Evaluation scope</w:t>
      </w:r>
    </w:p>
    <w:p>
      <w:pPr>
        <w:pStyle w:val="ListBullet"/>
      </w:pPr>
      <w:r>
        <w:rPr>
          <w:sz w:val="19"/>
        </w:rPr>
        <w:t>Method and independence</w:t>
      </w:r>
    </w:p>
    <w:p>
      <w:pPr>
        <w:pStyle w:val="ListBullet"/>
      </w:pPr>
      <w:r>
        <w:rPr>
          <w:sz w:val="19"/>
        </w:rPr>
        <w:t>Evaluation criteria</w:t>
      </w:r>
    </w:p>
    <w:p>
      <w:pPr>
        <w:pStyle w:val="ListBullet"/>
      </w:pPr>
      <w:r>
        <w:rPr>
          <w:sz w:val="19"/>
        </w:rPr>
        <w:t>Data collection</w:t>
      </w:r>
    </w:p>
    <w:p>
      <w:pPr>
        <w:pStyle w:val="ListBullet"/>
      </w:pPr>
      <w:r>
        <w:rPr>
          <w:sz w:val="19"/>
        </w:rPr>
        <w:t>Feedback and reporting</w:t>
      </w:r>
    </w:p>
    <w:p>
      <w:pPr>
        <w:pStyle w:val="ListBullet"/>
      </w:pPr>
      <w:r>
        <w:rPr>
          <w:sz w:val="19"/>
        </w:rPr>
        <w:t>Action and follow-up</w:t>
      </w:r>
    </w:p>
    <w:p>
      <w:pPr>
        <w:pStyle w:val="Heading1"/>
      </w:pPr>
      <w:r>
        <w:t>2. Templates &amp; Contents</w:t>
      </w:r>
    </w:p>
    <w:p>
      <w:pPr>
        <w:pStyle w:val="Heading3"/>
      </w:pPr>
      <w:r>
        <w:t>Board evaluation questionnaire</w:t>
      </w:r>
    </w:p>
    <w:p>
      <w:r>
        <w:rPr>
          <w:b w:val="0"/>
          <w:i w:val="0"/>
          <w:sz w:val="19"/>
        </w:rPr>
        <w:t>Structured questions across board effectiveness domains.</w:t>
      </w:r>
    </w:p>
    <w:p>
      <w:pPr>
        <w:pStyle w:val="Heading3"/>
      </w:pPr>
      <w:r>
        <w:t>Committee evaluation questionnaire</w:t>
      </w:r>
    </w:p>
    <w:p>
      <w:r>
        <w:rPr>
          <w:b w:val="0"/>
          <w:i w:val="0"/>
          <w:sz w:val="19"/>
        </w:rPr>
        <w:t>Committee-specific effectiveness questions.</w:t>
      </w:r>
    </w:p>
    <w:p>
      <w:pPr>
        <w:pStyle w:val="Heading3"/>
      </w:pPr>
      <w:r>
        <w:t>Director peer evaluation form</w:t>
      </w:r>
    </w:p>
    <w:p>
      <w:r>
        <w:rPr>
          <w:b w:val="0"/>
          <w:i w:val="0"/>
          <w:sz w:val="19"/>
        </w:rPr>
        <w:t>Confidential peer assessment of contribution.</w:t>
      </w:r>
    </w:p>
    <w:p>
      <w:pPr>
        <w:pStyle w:val="Heading3"/>
      </w:pPr>
      <w:r>
        <w:t>Board evaluation action plan template</w:t>
      </w:r>
    </w:p>
    <w:p>
      <w:r>
        <w:rPr>
          <w:b w:val="0"/>
          <w:i w:val="0"/>
          <w:sz w:val="19"/>
        </w:rPr>
        <w:t>Turn findings into owned, tracked actions.</w:t>
      </w:r>
    </w:p>
    <w:p>
      <w:pPr>
        <w:pStyle w:val="Heading3"/>
      </w:pPr>
      <w:r>
        <w:t>Board evaluation template</w:t>
      </w:r>
    </w:p>
    <w:p>
      <w:r>
        <w:rPr>
          <w:b w:val="0"/>
          <w:i w:val="0"/>
          <w:sz w:val="19"/>
        </w:rPr>
        <w:t>Standalone board-evaluation instrument (supplied as a board resource).</w:t>
      </w:r>
    </w:p>
    <w:p>
      <w:pPr>
        <w:pStyle w:val="Heading1"/>
      </w:pPr>
      <w:r>
        <w:t>3. Checklists</w:t>
      </w:r>
    </w:p>
    <w:p>
      <w:pPr>
        <w:ind w:left="288"/>
      </w:pPr>
      <w:r>
        <w:rPr>
          <w:sz w:val="19"/>
        </w:rPr>
        <w:t>☐  Evaluation scope and method agreed</w:t>
      </w:r>
    </w:p>
    <w:p>
      <w:pPr>
        <w:ind w:left="288"/>
      </w:pPr>
      <w:r>
        <w:rPr>
          <w:sz w:val="19"/>
        </w:rPr>
        <w:t>☐  Independence of the process considered (internal vs external)</w:t>
      </w:r>
    </w:p>
    <w:p>
      <w:pPr>
        <w:ind w:left="288"/>
      </w:pPr>
      <w:r>
        <w:rPr>
          <w:sz w:val="19"/>
        </w:rPr>
        <w:t>☐  Questionnaires completed by all directors</w:t>
      </w:r>
    </w:p>
    <w:p>
      <w:pPr>
        <w:ind w:left="288"/>
      </w:pPr>
      <w:r>
        <w:rPr>
          <w:sz w:val="19"/>
        </w:rPr>
        <w:t>☐  Findings analysed against criteria</w:t>
      </w:r>
    </w:p>
    <w:p>
      <w:pPr>
        <w:ind w:left="288"/>
      </w:pPr>
      <w:r>
        <w:rPr>
          <w:sz w:val="19"/>
        </w:rPr>
        <w:t>☐  Results fed back to the board</w:t>
      </w:r>
    </w:p>
    <w:p>
      <w:pPr>
        <w:ind w:left="288"/>
      </w:pPr>
      <w:r>
        <w:rPr>
          <w:sz w:val="19"/>
        </w:rPr>
        <w:t>☐  Action plan agreed and owned</w:t>
      </w:r>
    </w:p>
    <w:p>
      <w:pPr>
        <w:ind w:left="288"/>
      </w:pPr>
      <w:r>
        <w:rPr>
          <w:sz w:val="19"/>
        </w:rPr>
        <w:t>☐  Actions tracked to closure</w:t>
      </w:r>
    </w:p>
    <w:p>
      <w:pPr>
        <w:ind w:left="288"/>
      </w:pPr>
      <w:r>
        <w:rPr>
          <w:sz w:val="19"/>
        </w:rPr>
        <w:t>☐  External evaluation considered periodically</w:t>
      </w:r>
    </w:p>
    <w:p>
      <w:pPr>
        <w:pStyle w:val="Heading2"/>
      </w:pPr>
      <w:r>
        <w:t>Governance Structure</w:t>
      </w:r>
    </w:p>
    <w:p>
      <w:r>
        <w:rPr>
          <w:b w:val="0"/>
          <w:i w:val="0"/>
          <w:sz w:val="20"/>
        </w:rPr>
        <w:t>Governance operates under clear board accountability, aligned to NCCG 2018 and CAMA:</w:t>
      </w:r>
    </w:p>
    <w:tbl>
      <w:tblPr>
        <w:tblStyle w:val="TableGrid"/>
        <w:tblW w:type="auto" w:w="0"/>
        <w:jc w:val="center"/>
        <w:tblLook w:firstColumn="1" w:firstRow="1" w:lastColumn="0" w:lastRow="0" w:noHBand="0" w:noVBand="1" w:val="04A0"/>
      </w:tblPr>
      <w:tblGrid>
        <w:gridCol w:w="4896"/>
        <w:gridCol w:w="4896"/>
      </w:tblGrid>
      <w:tr>
        <w:tc>
          <w:tcPr>
            <w:tcW w:type="dxa" w:w="3168"/>
            <w:shd w:val="clear" w:fill="1B4D89"/>
          </w:tcPr>
          <w:p>
            <w:r/>
            <w:r>
              <w:rPr>
                <w:rFonts w:ascii="Arial" w:hAnsi="Arial"/>
                <w:b/>
                <w:color w:val="FFFFFF"/>
                <w:sz w:val="16"/>
              </w:rPr>
              <w:t>Layer</w:t>
            </w:r>
          </w:p>
        </w:tc>
        <w:tc>
          <w:tcPr>
            <w:tcW w:type="dxa" w:w="8352"/>
            <w:shd w:val="clear" w:fill="1B4D89"/>
          </w:tcPr>
          <w:p>
            <w:r/>
            <w:r>
              <w:rPr>
                <w:rFonts w:ascii="Arial" w:hAnsi="Arial"/>
                <w:b/>
                <w:color w:val="FFFFFF"/>
                <w:sz w:val="16"/>
              </w:rPr>
              <w:t>Role</w:t>
            </w:r>
          </w:p>
        </w:tc>
      </w:tr>
      <w:tr>
        <w:tc>
          <w:tcPr>
            <w:tcW w:type="dxa" w:w="3168"/>
          </w:tcPr>
          <w:p>
            <w:r/>
            <w:r>
              <w:rPr>
                <w:rFonts w:ascii="Arial" w:hAnsi="Arial"/>
                <w:b w:val="0"/>
                <w:sz w:val="16"/>
              </w:rPr>
              <w:t>Board</w:t>
            </w:r>
          </w:p>
        </w:tc>
        <w:tc>
          <w:tcPr>
            <w:tcW w:type="dxa" w:w="8352"/>
          </w:tcPr>
          <w:p>
            <w:r/>
            <w:r>
              <w:rPr>
                <w:rFonts w:ascii="Arial" w:hAnsi="Arial"/>
                <w:b w:val="0"/>
                <w:sz w:val="16"/>
              </w:rPr>
              <w:t>Accountable for governance; sets direction, approves policy, oversees</w:t>
            </w:r>
          </w:p>
        </w:tc>
      </w:tr>
      <w:tr>
        <w:tc>
          <w:tcPr>
            <w:tcW w:type="dxa" w:w="3168"/>
            <w:shd w:val="clear" w:fill="F4F7FB"/>
          </w:tcPr>
          <w:p>
            <w:r/>
            <w:r>
              <w:rPr>
                <w:rFonts w:ascii="Arial" w:hAnsi="Arial"/>
                <w:b w:val="0"/>
                <w:sz w:val="16"/>
              </w:rPr>
              <w:t>Board committees</w:t>
            </w:r>
          </w:p>
        </w:tc>
        <w:tc>
          <w:tcPr>
            <w:tcW w:type="dxa" w:w="8352"/>
            <w:shd w:val="clear" w:fill="F4F7FB"/>
          </w:tcPr>
          <w:p>
            <w:r/>
            <w:r>
              <w:rPr>
                <w:rFonts w:ascii="Arial" w:hAnsi="Arial"/>
                <w:b w:val="0"/>
                <w:sz w:val="16"/>
              </w:rPr>
              <w:t>Audit, risk, remuneration, nomination/governance — focused oversight</w:t>
            </w:r>
          </w:p>
        </w:tc>
      </w:tr>
      <w:tr>
        <w:tc>
          <w:tcPr>
            <w:tcW w:type="dxa" w:w="3168"/>
          </w:tcPr>
          <w:p>
            <w:r/>
            <w:r>
              <w:rPr>
                <w:rFonts w:ascii="Arial" w:hAnsi="Arial"/>
                <w:b w:val="0"/>
                <w:sz w:val="16"/>
              </w:rPr>
              <w:t>Chair</w:t>
            </w:r>
          </w:p>
        </w:tc>
        <w:tc>
          <w:tcPr>
            <w:tcW w:type="dxa" w:w="8352"/>
          </w:tcPr>
          <w:p>
            <w:r/>
            <w:r>
              <w:rPr>
                <w:rFonts w:ascii="Arial" w:hAnsi="Arial"/>
                <w:b w:val="0"/>
                <w:sz w:val="16"/>
              </w:rPr>
              <w:t>Leads the board; ensures effectiveness</w:t>
            </w:r>
          </w:p>
        </w:tc>
      </w:tr>
      <w:tr>
        <w:tc>
          <w:tcPr>
            <w:tcW w:type="dxa" w:w="3168"/>
            <w:shd w:val="clear" w:fill="F4F7FB"/>
          </w:tcPr>
          <w:p>
            <w:r/>
            <w:r>
              <w:rPr>
                <w:rFonts w:ascii="Arial" w:hAnsi="Arial"/>
                <w:b w:val="0"/>
                <w:sz w:val="16"/>
              </w:rPr>
              <w:t>Company secretary</w:t>
            </w:r>
          </w:p>
        </w:tc>
        <w:tc>
          <w:tcPr>
            <w:tcW w:type="dxa" w:w="8352"/>
            <w:shd w:val="clear" w:fill="F4F7FB"/>
          </w:tcPr>
          <w:p>
            <w:r/>
            <w:r>
              <w:rPr>
                <w:rFonts w:ascii="Arial" w:hAnsi="Arial"/>
                <w:b w:val="0"/>
                <w:sz w:val="16"/>
              </w:rPr>
              <w:t>Enables governance; advises the board; maintains records</w:t>
            </w:r>
          </w:p>
        </w:tc>
      </w:tr>
      <w:tr>
        <w:tc>
          <w:tcPr>
            <w:tcW w:type="dxa" w:w="3168"/>
          </w:tcPr>
          <w:p>
            <w:r/>
            <w:r>
              <w:rPr>
                <w:rFonts w:ascii="Arial" w:hAnsi="Arial"/>
                <w:b w:val="0"/>
                <w:sz w:val="16"/>
              </w:rPr>
              <w:t>Management</w:t>
            </w:r>
          </w:p>
        </w:tc>
        <w:tc>
          <w:tcPr>
            <w:tcW w:type="dxa" w:w="8352"/>
          </w:tcPr>
          <w:p>
            <w:r/>
            <w:r>
              <w:rPr>
                <w:rFonts w:ascii="Arial" w:hAnsi="Arial"/>
                <w:b w:val="0"/>
                <w:sz w:val="16"/>
              </w:rPr>
              <w:t>Implements; provides information and assurance</w:t>
            </w:r>
          </w:p>
        </w:tc>
      </w:tr>
      <w:tr>
        <w:tc>
          <w:tcPr>
            <w:tcW w:type="dxa" w:w="3168"/>
            <w:shd w:val="clear" w:fill="F4F7FB"/>
          </w:tcPr>
          <w:p>
            <w:r/>
            <w:r>
              <w:rPr>
                <w:rFonts w:ascii="Arial" w:hAnsi="Arial"/>
                <w:b w:val="0"/>
                <w:sz w:val="16"/>
              </w:rPr>
              <w:t>Internal audit</w:t>
            </w:r>
          </w:p>
        </w:tc>
        <w:tc>
          <w:tcPr>
            <w:tcW w:type="dxa" w:w="8352"/>
            <w:shd w:val="clear" w:fill="F4F7FB"/>
          </w:tcPr>
          <w:p>
            <w:r/>
            <w:r>
              <w:rPr>
                <w:rFonts w:ascii="Arial" w:hAnsi="Arial"/>
                <w:b w:val="0"/>
                <w:sz w:val="16"/>
              </w:rPr>
              <w:t>Independent assurance over governance, risk and control</w:t>
            </w:r>
          </w:p>
        </w:tc>
      </w:tr>
    </w:tbl>
    <w:p>
      <w:pPr>
        <w:pStyle w:val="Heading2"/>
      </w:pPr>
      <w:r>
        <w:t>Reporting Template</w:t>
      </w:r>
    </w:p>
    <w:p>
      <w:r>
        <w:rPr>
          <w:b w:val="0"/>
          <w:i w:val="0"/>
          <w:sz w:val="19"/>
        </w:rPr>
        <w:t>Standard report: executive summary · status vs target (RAG) · key metrics · issues &amp; actions · decisions sought.</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2880"/>
            <w:shd w:val="clear" w:fill="1B4D89"/>
          </w:tcPr>
          <w:p>
            <w:r/>
            <w:r>
              <w:rPr>
                <w:rFonts w:ascii="Arial" w:hAnsi="Arial"/>
                <w:b/>
                <w:color w:val="FFFFFF"/>
                <w:sz w:val="16"/>
              </w:rPr>
              <w:t>Metric</w:t>
            </w:r>
          </w:p>
        </w:tc>
        <w:tc>
          <w:tcPr>
            <w:tcW w:type="dxa" w:w="1440"/>
            <w:shd w:val="clear" w:fill="1B4D89"/>
          </w:tcPr>
          <w:p>
            <w:r/>
            <w:r>
              <w:rPr>
                <w:rFonts w:ascii="Arial" w:hAnsi="Arial"/>
                <w:b/>
                <w:color w:val="FFFFFF"/>
                <w:sz w:val="16"/>
              </w:rPr>
              <w:t>Current</w:t>
            </w:r>
          </w:p>
        </w:tc>
        <w:tc>
          <w:tcPr>
            <w:tcW w:type="dxa" w:w="1728"/>
            <w:shd w:val="clear" w:fill="1B4D89"/>
          </w:tcPr>
          <w:p>
            <w:r/>
            <w:r>
              <w:rPr>
                <w:rFonts w:ascii="Arial" w:hAnsi="Arial"/>
                <w:b/>
                <w:color w:val="FFFFFF"/>
                <w:sz w:val="16"/>
              </w:rPr>
              <w:t>Target</w:t>
            </w:r>
          </w:p>
        </w:tc>
        <w:tc>
          <w:tcPr>
            <w:tcW w:type="dxa" w:w="1152"/>
            <w:shd w:val="clear" w:fill="1B4D89"/>
          </w:tcPr>
          <w:p>
            <w:r/>
            <w:r>
              <w:rPr>
                <w:rFonts w:ascii="Arial" w:hAnsi="Arial"/>
                <w:b/>
                <w:color w:val="FFFFFF"/>
                <w:sz w:val="16"/>
              </w:rPr>
              <w:t>RAG</w:t>
            </w:r>
          </w:p>
        </w:tc>
        <w:tc>
          <w:tcPr>
            <w:tcW w:type="dxa" w:w="3744"/>
            <w:shd w:val="clear" w:fill="1B4D89"/>
          </w:tcPr>
          <w:p>
            <w:r/>
            <w:r>
              <w:rPr>
                <w:rFonts w:ascii="Arial" w:hAnsi="Arial"/>
                <w:b/>
                <w:color w:val="FFFFFF"/>
                <w:sz w:val="16"/>
              </w:rPr>
              <w:t>Action</w:t>
            </w:r>
          </w:p>
        </w:tc>
      </w:tr>
      <w:tr>
        <w:tc>
          <w:tcPr>
            <w:tcW w:type="dxa" w:w="2880"/>
          </w:tcPr>
          <w:p>
            <w:r/>
            <w:r>
              <w:rPr>
                <w:rFonts w:ascii="Arial" w:hAnsi="Arial"/>
                <w:b w:val="0"/>
                <w:sz w:val="16"/>
              </w:rPr>
              <w:t>Evaluation completed</w:t>
            </w:r>
          </w:p>
        </w:tc>
        <w:tc>
          <w:tcPr>
            <w:tcW w:type="dxa" w:w="1440"/>
          </w:tcPr>
          <w:p>
            <w:r/>
            <w:r>
              <w:rPr>
                <w:rFonts w:ascii="Arial" w:hAnsi="Arial"/>
                <w:b w:val="0"/>
                <w:sz w:val="16"/>
              </w:rPr>
              <w:t>Yes</w:t>
            </w:r>
          </w:p>
        </w:tc>
        <w:tc>
          <w:tcPr>
            <w:tcW w:type="dxa" w:w="1728"/>
          </w:tcPr>
          <w:p>
            <w:r/>
            <w:r>
              <w:rPr>
                <w:rFonts w:ascii="Arial" w:hAnsi="Arial"/>
                <w:b w:val="0"/>
                <w:sz w:val="16"/>
              </w:rPr>
              <w:t>Annual</w:t>
            </w:r>
          </w:p>
        </w:tc>
        <w:tc>
          <w:tcPr>
            <w:tcW w:type="dxa" w:w="1152"/>
            <w:shd w:val="clear" w:fill="2E7D5B"/>
          </w:tcPr>
          <w:p>
            <w:pPr>
              <w:jc w:val="center"/>
            </w:pPr>
            <w:r/>
            <w:r>
              <w:rPr>
                <w:rFonts w:ascii="Arial" w:hAnsi="Arial"/>
                <w:b/>
                <w:color w:val="FFFFFF"/>
                <w:sz w:val="16"/>
              </w:rPr>
              <w:t>Green</w:t>
            </w:r>
          </w:p>
        </w:tc>
        <w:tc>
          <w:tcPr>
            <w:tcW w:type="dxa" w:w="3744"/>
          </w:tcPr>
          <w:p>
            <w:r/>
            <w:r>
              <w:rPr>
                <w:rFonts w:ascii="Arial" w:hAnsi="Arial"/>
                <w:b w:val="0"/>
                <w:sz w:val="16"/>
              </w:rPr>
              <w:t>Maintain cycle</w:t>
            </w:r>
          </w:p>
        </w:tc>
      </w:tr>
      <w:tr>
        <w:tc>
          <w:tcPr>
            <w:tcW w:type="dxa" w:w="2880"/>
            <w:shd w:val="clear" w:fill="F4F7FB"/>
          </w:tcPr>
          <w:p>
            <w:r/>
            <w:r>
              <w:rPr>
                <w:rFonts w:ascii="Arial" w:hAnsi="Arial"/>
                <w:b w:val="0"/>
                <w:sz w:val="16"/>
              </w:rPr>
              <w:t>Response rate</w:t>
            </w:r>
          </w:p>
        </w:tc>
        <w:tc>
          <w:tcPr>
            <w:tcW w:type="dxa" w:w="1440"/>
            <w:shd w:val="clear" w:fill="F4F7FB"/>
          </w:tcPr>
          <w:p>
            <w:r/>
            <w:r>
              <w:rPr>
                <w:rFonts w:ascii="Arial" w:hAnsi="Arial"/>
                <w:b w:val="0"/>
                <w:sz w:val="16"/>
              </w:rPr>
              <w:t>100%</w:t>
            </w:r>
          </w:p>
        </w:tc>
        <w:tc>
          <w:tcPr>
            <w:tcW w:type="dxa" w:w="1728"/>
            <w:shd w:val="clear" w:fill="F4F7FB"/>
          </w:tcPr>
          <w:p>
            <w:r/>
            <w:r>
              <w:rPr>
                <w:rFonts w:ascii="Arial" w:hAnsi="Arial"/>
                <w:b w:val="0"/>
                <w:sz w:val="16"/>
              </w:rPr>
              <w:t>100%</w:t>
            </w:r>
          </w:p>
        </w:tc>
        <w:tc>
          <w:tcPr>
            <w:tcW w:type="dxa" w:w="1152"/>
            <w:shd w:val="clear" w:fill="F4F7FB"/>
            <w:shd w:val="clear" w:fill="2E7D5B"/>
          </w:tcPr>
          <w:p>
            <w:pPr>
              <w:jc w:val="center"/>
            </w:pPr>
            <w:r/>
            <w:r>
              <w:rPr>
                <w:rFonts w:ascii="Arial" w:hAnsi="Arial"/>
                <w:b/>
                <w:color w:val="FFFFFF"/>
                <w:sz w:val="16"/>
              </w:rPr>
              <w:t>Green</w:t>
            </w:r>
          </w:p>
        </w:tc>
        <w:tc>
          <w:tcPr>
            <w:tcW w:type="dxa" w:w="3744"/>
            <w:shd w:val="clear" w:fill="F4F7FB"/>
          </w:tcPr>
          <w:p>
            <w:r/>
            <w:r>
              <w:rPr>
                <w:rFonts w:ascii="Arial" w:hAnsi="Arial"/>
                <w:b w:val="0"/>
                <w:sz w:val="16"/>
              </w:rPr>
              <w:t>Maintain</w:t>
            </w:r>
          </w:p>
        </w:tc>
      </w:tr>
      <w:tr>
        <w:tc>
          <w:tcPr>
            <w:tcW w:type="dxa" w:w="2880"/>
          </w:tcPr>
          <w:p>
            <w:r/>
            <w:r>
              <w:rPr>
                <w:rFonts w:ascii="Arial" w:hAnsi="Arial"/>
                <w:b w:val="0"/>
                <w:sz w:val="16"/>
              </w:rPr>
              <w:t>Actions closed</w:t>
            </w:r>
          </w:p>
        </w:tc>
        <w:tc>
          <w:tcPr>
            <w:tcW w:type="dxa" w:w="1440"/>
          </w:tcPr>
          <w:p>
            <w:r/>
            <w:r>
              <w:rPr>
                <w:rFonts w:ascii="Arial" w:hAnsi="Arial"/>
                <w:b w:val="0"/>
                <w:sz w:val="16"/>
              </w:rPr>
              <w:t>60%</w:t>
            </w:r>
          </w:p>
        </w:tc>
        <w:tc>
          <w:tcPr>
            <w:tcW w:type="dxa" w:w="1728"/>
          </w:tcPr>
          <w:p>
            <w:r/>
            <w:r>
              <w:rPr>
                <w:rFonts w:ascii="Arial" w:hAnsi="Arial"/>
                <w:b w:val="0"/>
                <w:sz w:val="16"/>
              </w:rPr>
              <w:t>≥90%</w:t>
            </w:r>
          </w:p>
        </w:tc>
        <w:tc>
          <w:tcPr>
            <w:tcW w:type="dxa" w:w="1152"/>
            <w:shd w:val="clear" w:fill="E08A2B"/>
          </w:tcPr>
          <w:p>
            <w:pPr>
              <w:jc w:val="center"/>
            </w:pPr>
            <w:r/>
            <w:r>
              <w:rPr>
                <w:rFonts w:ascii="Arial" w:hAnsi="Arial"/>
                <w:b/>
                <w:color w:val="FFFFFF"/>
                <w:sz w:val="16"/>
              </w:rPr>
              <w:t>Amber</w:t>
            </w:r>
          </w:p>
        </w:tc>
        <w:tc>
          <w:tcPr>
            <w:tcW w:type="dxa" w:w="3744"/>
          </w:tcPr>
          <w:p>
            <w:r/>
            <w:r>
              <w:rPr>
                <w:rFonts w:ascii="Arial" w:hAnsi="Arial"/>
                <w:b w:val="0"/>
                <w:sz w:val="16"/>
              </w:rPr>
              <w:t>Close open actions</w:t>
            </w:r>
          </w:p>
        </w:tc>
      </w:tr>
      <w:tr>
        <w:tc>
          <w:tcPr>
            <w:tcW w:type="dxa" w:w="2880"/>
            <w:shd w:val="clear" w:fill="F4F7FB"/>
          </w:tcPr>
          <w:p>
            <w:r/>
            <w:r>
              <w:rPr>
                <w:rFonts w:ascii="Arial" w:hAnsi="Arial"/>
                <w:b w:val="0"/>
                <w:sz w:val="16"/>
              </w:rPr>
              <w:t>External review</w:t>
            </w:r>
          </w:p>
        </w:tc>
        <w:tc>
          <w:tcPr>
            <w:tcW w:type="dxa" w:w="1440"/>
            <w:shd w:val="clear" w:fill="F4F7FB"/>
          </w:tcPr>
          <w:p>
            <w:r/>
            <w:r>
              <w:rPr>
                <w:rFonts w:ascii="Arial" w:hAnsi="Arial"/>
                <w:b w:val="0"/>
                <w:sz w:val="16"/>
              </w:rPr>
              <w:t>Due</w:t>
            </w:r>
          </w:p>
        </w:tc>
        <w:tc>
          <w:tcPr>
            <w:tcW w:type="dxa" w:w="1728"/>
            <w:shd w:val="clear" w:fill="F4F7FB"/>
          </w:tcPr>
          <w:p>
            <w:r/>
            <w:r>
              <w:rPr>
                <w:rFonts w:ascii="Arial" w:hAnsi="Arial"/>
                <w:b w:val="0"/>
                <w:sz w:val="16"/>
              </w:rPr>
              <w:t>Periodic</w:t>
            </w:r>
          </w:p>
        </w:tc>
        <w:tc>
          <w:tcPr>
            <w:tcW w:type="dxa" w:w="1152"/>
            <w:shd w:val="clear" w:fill="F4F7FB"/>
            <w:shd w:val="clear" w:fill="E08A2B"/>
          </w:tcPr>
          <w:p>
            <w:pPr>
              <w:jc w:val="center"/>
            </w:pPr>
            <w:r/>
            <w:r>
              <w:rPr>
                <w:rFonts w:ascii="Arial" w:hAnsi="Arial"/>
                <w:b/>
                <w:color w:val="FFFFFF"/>
                <w:sz w:val="16"/>
              </w:rPr>
              <w:t>Amber</w:t>
            </w:r>
          </w:p>
        </w:tc>
        <w:tc>
          <w:tcPr>
            <w:tcW w:type="dxa" w:w="3744"/>
            <w:shd w:val="clear" w:fill="F4F7FB"/>
          </w:tcPr>
          <w:p>
            <w:r/>
            <w:r>
              <w:rPr>
                <w:rFonts w:ascii="Arial" w:hAnsi="Arial"/>
                <w:b w:val="0"/>
                <w:sz w:val="16"/>
              </w:rPr>
              <w:t>Schedule external review</w:t>
            </w:r>
          </w:p>
        </w:tc>
      </w:tr>
    </w:tbl>
    <w:p>
      <w:pPr>
        <w:pStyle w:val="Heading2"/>
      </w:pPr>
      <w:r>
        <w:t>Board Reporting Section</w:t>
      </w:r>
    </w:p>
    <w:p>
      <w:r>
        <w:rPr>
          <w:b w:val="0"/>
          <w:i/>
          <w:sz w:val="19"/>
        </w:rPr>
        <w:t>Illustrative one-page board summary (replace with live data):</w:t>
      </w:r>
    </w:p>
    <w:tbl>
      <w:tblPr>
        <w:tblStyle w:val="TableGrid"/>
        <w:tblW w:type="auto" w:w="0"/>
        <w:jc w:val="center"/>
        <w:tblLook w:firstColumn="1" w:firstRow="1" w:lastColumn="0" w:lastRow="0" w:noHBand="0" w:noVBand="1" w:val="04A0"/>
      </w:tblPr>
      <w:tblGrid>
        <w:gridCol w:w="3264"/>
        <w:gridCol w:w="3264"/>
        <w:gridCol w:w="3264"/>
      </w:tblGrid>
      <w:tr>
        <w:tc>
          <w:tcPr>
            <w:tcW w:type="dxa" w:w="2736"/>
            <w:shd w:val="clear" w:fill="1B4D89"/>
          </w:tcPr>
          <w:p>
            <w:r/>
            <w:r>
              <w:rPr>
                <w:rFonts w:ascii="Arial" w:hAnsi="Arial"/>
                <w:b/>
                <w:color w:val="FFFFFF"/>
                <w:sz w:val="16"/>
              </w:rPr>
              <w:t>Item</w:t>
            </w:r>
          </w:p>
        </w:tc>
        <w:tc>
          <w:tcPr>
            <w:tcW w:type="dxa" w:w="1440"/>
            <w:shd w:val="clear" w:fill="1B4D89"/>
          </w:tcPr>
          <w:p>
            <w:r/>
            <w:r>
              <w:rPr>
                <w:rFonts w:ascii="Arial" w:hAnsi="Arial"/>
                <w:b/>
                <w:color w:val="FFFFFF"/>
                <w:sz w:val="16"/>
              </w:rPr>
              <w:t>Status</w:t>
            </w:r>
          </w:p>
        </w:tc>
        <w:tc>
          <w:tcPr>
            <w:tcW w:type="dxa" w:w="7344"/>
            <w:shd w:val="clear" w:fill="1B4D89"/>
          </w:tcPr>
          <w:p>
            <w:r/>
            <w:r>
              <w:rPr>
                <w:rFonts w:ascii="Arial" w:hAnsi="Arial"/>
                <w:b/>
                <w:color w:val="FFFFFF"/>
                <w:sz w:val="16"/>
              </w:rPr>
              <w:t>Commentary</w:t>
            </w:r>
          </w:p>
        </w:tc>
      </w:tr>
      <w:tr>
        <w:tc>
          <w:tcPr>
            <w:tcW w:type="dxa" w:w="2736"/>
          </w:tcPr>
          <w:p>
            <w:r/>
            <w:r>
              <w:rPr>
                <w:rFonts w:ascii="Arial" w:hAnsi="Arial"/>
                <w:b w:val="0"/>
                <w:sz w:val="16"/>
              </w:rPr>
              <w:t>Board evaluation</w:t>
            </w:r>
          </w:p>
        </w:tc>
        <w:tc>
          <w:tcPr>
            <w:tcW w:type="dxa" w:w="1440"/>
            <w:shd w:val="clear" w:fill="2E7D5B"/>
          </w:tcPr>
          <w:p>
            <w:pPr>
              <w:jc w:val="center"/>
            </w:pPr>
            <w:r/>
            <w:r>
              <w:rPr>
                <w:rFonts w:ascii="Arial" w:hAnsi="Arial"/>
                <w:b/>
                <w:color w:val="FFFFFF"/>
                <w:sz w:val="16"/>
              </w:rPr>
              <w:t>Green</w:t>
            </w:r>
          </w:p>
        </w:tc>
        <w:tc>
          <w:tcPr>
            <w:tcW w:type="dxa" w:w="7344"/>
          </w:tcPr>
          <w:p>
            <w:r/>
            <w:r>
              <w:rPr>
                <w:rFonts w:ascii="Arial" w:hAnsi="Arial"/>
                <w:b w:val="0"/>
                <w:sz w:val="16"/>
              </w:rPr>
              <w:t>Completed with full participation</w:t>
            </w:r>
          </w:p>
        </w:tc>
      </w:tr>
      <w:tr>
        <w:tc>
          <w:tcPr>
            <w:tcW w:type="dxa" w:w="2736"/>
            <w:shd w:val="clear" w:fill="F4F7FB"/>
          </w:tcPr>
          <w:p>
            <w:r/>
            <w:r>
              <w:rPr>
                <w:rFonts w:ascii="Arial" w:hAnsi="Arial"/>
                <w:b w:val="0"/>
                <w:sz w:val="16"/>
              </w:rPr>
              <w:t>Findings</w:t>
            </w:r>
          </w:p>
        </w:tc>
        <w:tc>
          <w:tcPr>
            <w:tcW w:type="dxa" w:w="1440"/>
            <w:shd w:val="clear" w:fill="F4F7FB"/>
            <w:shd w:val="clear" w:fill="E08A2B"/>
          </w:tcPr>
          <w:p>
            <w:pPr>
              <w:jc w:val="center"/>
            </w:pPr>
            <w:r/>
            <w:r>
              <w:rPr>
                <w:rFonts w:ascii="Arial" w:hAnsi="Arial"/>
                <w:b/>
                <w:color w:val="FFFFFF"/>
                <w:sz w:val="16"/>
              </w:rPr>
              <w:t>Amber</w:t>
            </w:r>
          </w:p>
        </w:tc>
        <w:tc>
          <w:tcPr>
            <w:tcW w:type="dxa" w:w="7344"/>
            <w:shd w:val="clear" w:fill="F4F7FB"/>
          </w:tcPr>
          <w:p>
            <w:r/>
            <w:r>
              <w:rPr>
                <w:rFonts w:ascii="Arial" w:hAnsi="Arial"/>
                <w:b w:val="0"/>
                <w:sz w:val="16"/>
              </w:rPr>
              <w:t>Several improvement actions open</w:t>
            </w:r>
          </w:p>
        </w:tc>
      </w:tr>
      <w:tr>
        <w:tc>
          <w:tcPr>
            <w:tcW w:type="dxa" w:w="2736"/>
          </w:tcPr>
          <w:p>
            <w:r/>
            <w:r>
              <w:rPr>
                <w:rFonts w:ascii="Arial" w:hAnsi="Arial"/>
                <w:b w:val="0"/>
                <w:sz w:val="16"/>
              </w:rPr>
              <w:t>Process</w:t>
            </w:r>
          </w:p>
        </w:tc>
        <w:tc>
          <w:tcPr>
            <w:tcW w:type="dxa" w:w="1440"/>
            <w:shd w:val="clear" w:fill="E08A2B"/>
          </w:tcPr>
          <w:p>
            <w:pPr>
              <w:jc w:val="center"/>
            </w:pPr>
            <w:r/>
            <w:r>
              <w:rPr>
                <w:rFonts w:ascii="Arial" w:hAnsi="Arial"/>
                <w:b/>
                <w:color w:val="FFFFFF"/>
                <w:sz w:val="16"/>
              </w:rPr>
              <w:t>Amber</w:t>
            </w:r>
          </w:p>
        </w:tc>
        <w:tc>
          <w:tcPr>
            <w:tcW w:type="dxa" w:w="7344"/>
          </w:tcPr>
          <w:p>
            <w:r/>
            <w:r>
              <w:rPr>
                <w:rFonts w:ascii="Arial" w:hAnsi="Arial"/>
                <w:b w:val="0"/>
                <w:sz w:val="16"/>
              </w:rPr>
              <w:t>External review due in cycle</w:t>
            </w:r>
          </w:p>
        </w:tc>
      </w:tr>
      <w:tr>
        <w:tc>
          <w:tcPr>
            <w:tcW w:type="dxa" w:w="2736"/>
            <w:shd w:val="clear" w:fill="F4F7FB"/>
          </w:tcPr>
          <w:p>
            <w:r/>
            <w:r>
              <w:rPr>
                <w:rFonts w:ascii="Arial" w:hAnsi="Arial"/>
                <w:b w:val="0"/>
                <w:sz w:val="16"/>
              </w:rPr>
              <w:t>Decisions sought</w:t>
            </w:r>
          </w:p>
        </w:tc>
        <w:tc>
          <w:tcPr>
            <w:tcW w:type="dxa" w:w="1440"/>
            <w:shd w:val="clear" w:fill="F4F7FB"/>
          </w:tcPr>
          <w:p>
            <w:r/>
            <w:r>
              <w:rPr>
                <w:rFonts w:ascii="Arial" w:hAnsi="Arial"/>
                <w:b w:val="0"/>
                <w:sz w:val="16"/>
              </w:rPr>
              <w:t>—</w:t>
            </w:r>
          </w:p>
        </w:tc>
        <w:tc>
          <w:tcPr>
            <w:tcW w:type="dxa" w:w="7344"/>
            <w:shd w:val="clear" w:fill="F4F7FB"/>
          </w:tcPr>
          <w:p>
            <w:r/>
            <w:r>
              <w:rPr>
                <w:rFonts w:ascii="Arial" w:hAnsi="Arial"/>
                <w:b w:val="0"/>
                <w:sz w:val="16"/>
              </w:rPr>
              <w:t>Approve external evaluation timing</w:t>
            </w:r>
          </w:p>
        </w:tc>
      </w:tr>
    </w:tbl>
    <w:p>
      <w:pPr>
        <w:pStyle w:val="Heading2"/>
      </w:pPr>
      <w:r>
        <w:t>Notes &amp; Disclaimer</w:t>
      </w:r>
    </w:p>
    <w:p>
      <w:r>
        <w:rPr>
          <w:b w:val="0"/>
          <w:i/>
          <w:sz w:val="18"/>
        </w:rPr>
        <w:t>This resource is a professional governance template, not legal advice. It is anchored to the NCCG 2018 and Nigeria's regulatory framework (FRCN, SEC, CBN, NAICOM, CAC, CAMA) with international alignment (OECD, IFC, King IV, ISO 37000), referenced by name. Organisations must apply the current text of each applicable code, law and regulator guideline and take professional counsel. Bracketed fields [like this] are placeholders to complete.</w:t>
      </w:r>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0243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B4D8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B4D8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