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 Decision-Making Guide</w:t>
      </w:r>
    </w:p>
    <w:p>
      <w:r>
        <w:rPr>
          <w:i/>
          <w:color w:val="445577"/>
        </w:rPr>
        <w:t>Outliers Board Excellence Centre™ | Board Excellence Resource</w:t>
      </w:r>
    </w:p>
    <w:p/>
    <w:p>
      <w:pPr>
        <w:pStyle w:val="Heading1"/>
      </w:pPr>
      <w:r>
        <w:t>Purpose</w:t>
      </w:r>
    </w:p>
    <w:p>
      <w:r>
        <w:t>Board Decision-Making Guide provides strategic guidance to chairs, directors, committee members and company secretaries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Board Decision-Making Guide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Decision ID</w:t>
            </w:r>
          </w:p>
        </w:tc>
        <w:tc>
          <w:tcPr>
            <w:tcW w:type="dxa" w:w="1440"/>
          </w:tcPr>
          <w:p>
            <w:r>
              <w:rPr>
                <w:b/>
              </w:rPr>
              <w:t>Date</w:t>
            </w:r>
          </w:p>
        </w:tc>
        <w:tc>
          <w:tcPr>
            <w:tcW w:type="dxa" w:w="1440"/>
          </w:tcPr>
          <w:p>
            <w:r>
              <w:rPr>
                <w:b/>
              </w:rPr>
              <w:t>Topic</w:t>
            </w:r>
          </w:p>
        </w:tc>
        <w:tc>
          <w:tcPr>
            <w:tcW w:type="dxa" w:w="1440"/>
          </w:tcPr>
          <w:p>
            <w:r>
              <w:rPr>
                <w:b/>
              </w:rPr>
              <w:t>Owner</w:t>
            </w:r>
          </w:p>
        </w:tc>
        <w:tc>
          <w:tcPr>
            <w:tcW w:type="dxa" w:w="1440"/>
          </w:tcPr>
          <w:p>
            <w:r>
              <w:rPr>
                <w:b/>
              </w:rPr>
              <w:t>Resolution</w:t>
            </w:r>
          </w:p>
        </w:tc>
        <w:tc>
          <w:tcPr>
            <w:tcW w:type="dxa" w:w="1440"/>
          </w:tcPr>
          <w:p>
            <w:r>
              <w:rPr>
                <w:b/>
              </w:rPr>
              <w:t>Status</w:t>
            </w:r>
          </w:p>
        </w:tc>
      </w:tr>
      <w:tr>
        <w:tc>
          <w:tcPr>
            <w:tcW w:type="dxa" w:w="1440"/>
          </w:tcPr>
          <w:p>
            <w:r>
              <w:t>BD-2026-001</w:t>
            </w:r>
          </w:p>
        </w:tc>
        <w:tc>
          <w:tcPr>
            <w:tcW w:type="dxa" w:w="1440"/>
          </w:tcPr>
          <w:p>
            <w:r>
              <w:t>2026-01-15</w:t>
            </w:r>
          </w:p>
        </w:tc>
        <w:tc>
          <w:tcPr>
            <w:tcW w:type="dxa" w:w="1440"/>
          </w:tcPr>
          <w:p>
            <w:r>
              <w:t>FY26 Strategy refresh</w:t>
            </w:r>
          </w:p>
        </w:tc>
        <w:tc>
          <w:tcPr>
            <w:tcW w:type="dxa" w:w="1440"/>
          </w:tcPr>
          <w:p>
            <w:r>
              <w:t>Chair</w:t>
            </w:r>
          </w:p>
        </w:tc>
        <w:tc>
          <w:tcPr>
            <w:tcW w:type="dxa" w:w="1440"/>
          </w:tcPr>
          <w:p>
            <w:r>
              <w:t>Approved</w:t>
            </w:r>
          </w:p>
        </w:tc>
        <w:tc>
          <w:tcPr>
            <w:tcW w:type="dxa" w:w="1440"/>
          </w:tcPr>
          <w:p>
            <w:r>
              <w:t>Closed</w:t>
            </w:r>
          </w:p>
        </w:tc>
      </w:tr>
      <w:tr>
        <w:tc>
          <w:tcPr>
            <w:tcW w:type="dxa" w:w="1440"/>
          </w:tcPr>
          <w:p>
            <w:r>
              <w:t>BD-2026-002</w:t>
            </w:r>
          </w:p>
        </w:tc>
        <w:tc>
          <w:tcPr>
            <w:tcW w:type="dxa" w:w="1440"/>
          </w:tcPr>
          <w:p>
            <w:r>
              <w:t>2026-02-12</w:t>
            </w:r>
          </w:p>
        </w:tc>
        <w:tc>
          <w:tcPr>
            <w:tcW w:type="dxa" w:w="1440"/>
          </w:tcPr>
          <w:p>
            <w:r>
              <w:t>Risk appetite update</w:t>
            </w:r>
          </w:p>
        </w:tc>
        <w:tc>
          <w:tcPr>
            <w:tcW w:type="dxa" w:w="1440"/>
          </w:tcPr>
          <w:p>
            <w:r>
              <w:t>CRO</w:t>
            </w:r>
          </w:p>
        </w:tc>
        <w:tc>
          <w:tcPr>
            <w:tcW w:type="dxa" w:w="1440"/>
          </w:tcPr>
          <w:p>
            <w:r>
              <w:t>Approved</w:t>
            </w:r>
          </w:p>
        </w:tc>
        <w:tc>
          <w:tcPr>
            <w:tcW w:type="dxa" w:w="1440"/>
          </w:tcPr>
          <w:p>
            <w:r>
              <w:t>In progress</w:t>
            </w:r>
          </w:p>
        </w:tc>
      </w:tr>
      <w:tr>
        <w:tc>
          <w:tcPr>
            <w:tcW w:type="dxa" w:w="1440"/>
          </w:tcPr>
          <w:p>
            <w:r>
              <w:t>BD-2026-003</w:t>
            </w:r>
          </w:p>
        </w:tc>
        <w:tc>
          <w:tcPr>
            <w:tcW w:type="dxa" w:w="1440"/>
          </w:tcPr>
          <w:p>
            <w:r>
              <w:t>2026-03-20</w:t>
            </w:r>
          </w:p>
        </w:tc>
        <w:tc>
          <w:tcPr>
            <w:tcW w:type="dxa" w:w="1440"/>
          </w:tcPr>
          <w:p>
            <w:r>
              <w:t>CEO KPIs</w:t>
            </w:r>
          </w:p>
        </w:tc>
        <w:tc>
          <w:tcPr>
            <w:tcW w:type="dxa" w:w="1440"/>
          </w:tcPr>
          <w:p>
            <w:r>
              <w:t>Rem Chair</w:t>
            </w:r>
          </w:p>
        </w:tc>
        <w:tc>
          <w:tcPr>
            <w:tcW w:type="dxa" w:w="1440"/>
          </w:tcPr>
          <w:p>
            <w:r>
              <w:t>Approved</w:t>
            </w:r>
          </w:p>
        </w:tc>
        <w:tc>
          <w:tcPr>
            <w:tcW w:type="dxa" w:w="1440"/>
          </w:tcPr>
          <w:p>
            <w:r>
              <w:t>Monitoring</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