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Privacy Toolkit</w:t>
      </w:r>
    </w:p>
    <w:p>
      <w:r>
        <w:rPr>
          <w:i/>
          <w:color w:val="555555"/>
        </w:rPr>
        <w:t>Outliers Professionals — Data &amp; AI Centre™ · Template · Professional</w:t>
      </w:r>
    </w:p>
    <w:p>
      <w:r>
        <w:t>Resource ID: res_data_privacy_toolkit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Data Privacy Toolkit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rPr>
                <w:b/>
              </w:rPr>
              <w:t>Processing Activity</w:t>
            </w:r>
          </w:p>
        </w:tc>
        <w:tc>
          <w:tcPr>
            <w:tcW w:type="dxa" w:w="1080"/>
          </w:tcPr>
          <w:p>
            <w:r>
              <w:rPr>
                <w:b/>
              </w:rPr>
              <w:t>Lawful Basis (NDPA)</w:t>
            </w:r>
          </w:p>
        </w:tc>
        <w:tc>
          <w:tcPr>
            <w:tcW w:type="dxa" w:w="1080"/>
          </w:tcPr>
          <w:p>
            <w:r>
              <w:rPr>
                <w:b/>
              </w:rPr>
              <w:t>Data Subjects</w:t>
            </w:r>
          </w:p>
        </w:tc>
        <w:tc>
          <w:tcPr>
            <w:tcW w:type="dxa" w:w="1080"/>
          </w:tcPr>
          <w:p>
            <w:r>
              <w:rPr>
                <w:b/>
              </w:rPr>
              <w:t>Categories</w:t>
            </w:r>
          </w:p>
        </w:tc>
        <w:tc>
          <w:tcPr>
            <w:tcW w:type="dxa" w:w="1080"/>
          </w:tcPr>
          <w:p>
            <w:r>
              <w:rPr>
                <w:b/>
              </w:rPr>
              <w:t>Retention</w:t>
            </w:r>
          </w:p>
        </w:tc>
        <w:tc>
          <w:tcPr>
            <w:tcW w:type="dxa" w:w="1080"/>
          </w:tcPr>
          <w:p>
            <w:r>
              <w:rPr>
                <w:b/>
              </w:rPr>
              <w:t>Cross-Border</w:t>
            </w:r>
          </w:p>
        </w:tc>
        <w:tc>
          <w:tcPr>
            <w:tcW w:type="dxa" w:w="1080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080"/>
          </w:tcPr>
          <w:p>
            <w:r>
              <w:rPr>
                <w:b/>
              </w:rPr>
              <w:t>DPIA Required</w:t>
            </w:r>
          </w:p>
        </w:tc>
      </w:tr>
      <w:tr>
        <w:tc>
          <w:tcPr>
            <w:tcW w:type="dxa" w:w="1080"/>
          </w:tcPr>
          <w:p>
            <w:r>
              <w:t>Customer onboarding KYC</w:t>
            </w:r>
          </w:p>
        </w:tc>
        <w:tc>
          <w:tcPr>
            <w:tcW w:type="dxa" w:w="1080"/>
          </w:tcPr>
          <w:p>
            <w:r>
              <w:t>Legal obligation</w:t>
            </w:r>
          </w:p>
        </w:tc>
        <w:tc>
          <w:tcPr>
            <w:tcW w:type="dxa" w:w="1080"/>
          </w:tcPr>
          <w:p>
            <w:r>
              <w:t>Customers</w:t>
            </w:r>
          </w:p>
        </w:tc>
        <w:tc>
          <w:tcPr>
            <w:tcW w:type="dxa" w:w="1080"/>
          </w:tcPr>
          <w:p>
            <w:r>
              <w:t>Identity, financial</w:t>
            </w:r>
          </w:p>
        </w:tc>
        <w:tc>
          <w:tcPr>
            <w:tcW w:type="dxa" w:w="1080"/>
          </w:tcPr>
          <w:p>
            <w:r>
              <w:t>10 years</w:t>
            </w:r>
          </w:p>
        </w:tc>
        <w:tc>
          <w:tcPr>
            <w:tcW w:type="dxa" w:w="1080"/>
          </w:tcPr>
          <w:p>
            <w:r>
              <w:t>No</w:t>
            </w:r>
          </w:p>
        </w:tc>
        <w:tc>
          <w:tcPr>
            <w:tcW w:type="dxa" w:w="1080"/>
          </w:tcPr>
          <w:p>
            <w:r>
              <w:t>High</w:t>
            </w:r>
          </w:p>
        </w:tc>
        <w:tc>
          <w:tcPr>
            <w:tcW w:type="dxa" w:w="1080"/>
          </w:tcPr>
          <w:p>
            <w:r>
              <w:t>Yes</w:t>
            </w:r>
          </w:p>
        </w:tc>
      </w:tr>
      <w:tr>
        <w:tc>
          <w:tcPr>
            <w:tcW w:type="dxa" w:w="1080"/>
          </w:tcPr>
          <w:p>
            <w:r>
              <w:t>Marketing analytics</w:t>
            </w:r>
          </w:p>
        </w:tc>
        <w:tc>
          <w:tcPr>
            <w:tcW w:type="dxa" w:w="1080"/>
          </w:tcPr>
          <w:p>
            <w:r>
              <w:t>Consent</w:t>
            </w:r>
          </w:p>
        </w:tc>
        <w:tc>
          <w:tcPr>
            <w:tcW w:type="dxa" w:w="1080"/>
          </w:tcPr>
          <w:p>
            <w:r>
              <w:t>Prospects</w:t>
            </w:r>
          </w:p>
        </w:tc>
        <w:tc>
          <w:tcPr>
            <w:tcW w:type="dxa" w:w="1080"/>
          </w:tcPr>
          <w:p>
            <w:r>
              <w:t>Behavioural</w:t>
            </w:r>
          </w:p>
        </w:tc>
        <w:tc>
          <w:tcPr>
            <w:tcW w:type="dxa" w:w="1080"/>
          </w:tcPr>
          <w:p>
            <w:r>
              <w:t>24 months</w:t>
            </w:r>
          </w:p>
        </w:tc>
        <w:tc>
          <w:tcPr>
            <w:tcW w:type="dxa" w:w="1080"/>
          </w:tcPr>
          <w:p>
            <w:r>
              <w:t>Yes (EU)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  <w:tc>
          <w:tcPr>
            <w:tcW w:type="dxa" w:w="1080"/>
          </w:tcPr>
          <w:p>
            <w:r>
              <w:t>Yes</w:t>
            </w:r>
          </w:p>
        </w:tc>
      </w:tr>
      <w:tr>
        <w:tc>
          <w:tcPr>
            <w:tcW w:type="dxa" w:w="1080"/>
          </w:tcPr>
          <w:p>
            <w:r>
              <w:t>Employee performance</w:t>
            </w:r>
          </w:p>
        </w:tc>
        <w:tc>
          <w:tcPr>
            <w:tcW w:type="dxa" w:w="1080"/>
          </w:tcPr>
          <w:p>
            <w:r>
              <w:t>Legitimate interest</w:t>
            </w:r>
          </w:p>
        </w:tc>
        <w:tc>
          <w:tcPr>
            <w:tcW w:type="dxa" w:w="1080"/>
          </w:tcPr>
          <w:p>
            <w:r>
              <w:t>Employees</w:t>
            </w:r>
          </w:p>
        </w:tc>
        <w:tc>
          <w:tcPr>
            <w:tcW w:type="dxa" w:w="1080"/>
          </w:tcPr>
          <w:p>
            <w:r>
              <w:t>HR, performance</w:t>
            </w:r>
          </w:p>
        </w:tc>
        <w:tc>
          <w:tcPr>
            <w:tcW w:type="dxa" w:w="1080"/>
          </w:tcPr>
          <w:p>
            <w:r>
              <w:t>5 years</w:t>
            </w:r>
          </w:p>
        </w:tc>
        <w:tc>
          <w:tcPr>
            <w:tcW w:type="dxa" w:w="1080"/>
          </w:tcPr>
          <w:p>
            <w:r>
              <w:t>No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  <w:tc>
          <w:tcPr>
            <w:tcW w:type="dxa" w:w="1080"/>
          </w:tcPr>
          <w:p>
            <w:r>
              <w:t>No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