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B4D89"/>
          <w:sz w:val="24"/>
        </w:rPr>
        <w:t>OUTLIERS BUSINESS STRATEGY CENTRE™</w:t>
      </w:r>
    </w:p>
    <w:p>
      <w:pPr>
        <w:jc w:val="center"/>
      </w:pPr>
      <w:r>
        <w:rPr>
          <w:b/>
          <w:color w:val="10243F"/>
          <w:sz w:val="50"/>
        </w:rPr>
        <w:t>Board Strategy Dashboard Pack</w:t>
      </w:r>
    </w:p>
    <w:p>
      <w:pPr>
        <w:jc w:val="center"/>
      </w:pPr>
      <w:r>
        <w:rPr>
          <w:color w:val="C97B2C"/>
          <w:sz w:val="26"/>
        </w:rPr>
        <w:t>Board-grade strategy dashboards &amp; interpretation</w:t>
      </w:r>
    </w:p>
    <w:p/>
    <w:p/>
    <w:p>
      <w:pPr>
        <w:jc w:val="center"/>
      </w:pPr>
      <w:r>
        <w:rPr>
          <w:color w:val="555555"/>
          <w:sz w:val="20"/>
        </w:rPr>
        <w:t>Board / Strategy Committee  ·  Flagship Edition 2026</w:t>
      </w:r>
    </w:p>
    <w:p>
      <w:pPr>
        <w:jc w:val="center"/>
      </w:pPr>
      <w:r>
        <w:rPr>
          <w:i/>
          <w:color w:val="555555"/>
          <w:sz w:val="18"/>
        </w:rPr>
        <w:t>Publication-ready resource for the Outliers Resource Library</w:t>
      </w:r>
    </w:p>
    <w:p>
      <w:r>
        <w:br w:type="page"/>
      </w:r>
    </w:p>
    <w:p>
      <w:pPr>
        <w:pStyle w:val="Heading1"/>
      </w:pPr>
      <w:r>
        <w:t>1. Strategy Dashboard (example)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73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KPI</w:t>
            </w:r>
          </w:p>
        </w:tc>
        <w:tc>
          <w:tcPr>
            <w:tcW w:type="dxa" w:w="12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Value</w:t>
            </w:r>
          </w:p>
        </w:tc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Threshold</w:t>
            </w:r>
          </w:p>
        </w:tc>
        <w:tc>
          <w:tcPr>
            <w:tcW w:type="dxa" w:w="100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RAG</w:t>
            </w:r>
          </w:p>
        </w:tc>
        <w:tc>
          <w:tcPr>
            <w:tcW w:type="dxa" w:w="360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Interpretation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Strategy maturity index</w:t>
            </w:r>
          </w:p>
        </w:tc>
        <w:tc>
          <w:tcPr>
            <w:tcW w:type="dxa" w:w="1296"/>
          </w:tcPr>
          <w:p>
            <w:r/>
            <w:r>
              <w:rPr>
                <w:rFonts w:ascii="Arial" w:hAnsi="Arial"/>
                <w:b w:val="0"/>
                <w:sz w:val="16"/>
              </w:rPr>
              <w:t>62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Improving</w:t>
            </w:r>
          </w:p>
        </w:tc>
        <w:tc>
          <w:tcPr>
            <w:tcW w:type="dxa" w:w="1008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3600"/>
          </w:tcPr>
          <w:p>
            <w:r/>
            <w:r>
              <w:rPr>
                <w:rFonts w:ascii="Arial" w:hAnsi="Arial"/>
                <w:b w:val="0"/>
                <w:sz w:val="16"/>
              </w:rPr>
              <w:t>Defined; progressing to Managed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Objectives on track</w:t>
            </w:r>
          </w:p>
        </w:tc>
        <w:tc>
          <w:tcPr>
            <w:tcW w:type="dxa" w:w="12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75%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≥80%</w:t>
            </w:r>
          </w:p>
        </w:tc>
        <w:tc>
          <w:tcPr>
            <w:tcW w:type="dxa" w:w="1008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360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Most objectives progressing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Initiative delivery</w:t>
            </w:r>
          </w:p>
        </w:tc>
        <w:tc>
          <w:tcPr>
            <w:tcW w:type="dxa" w:w="1296"/>
          </w:tcPr>
          <w:p>
            <w:r/>
            <w:r>
              <w:rPr>
                <w:rFonts w:ascii="Arial" w:hAnsi="Arial"/>
                <w:b w:val="0"/>
                <w:sz w:val="16"/>
              </w:rPr>
              <w:t>20%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≥85%</w:t>
            </w:r>
          </w:p>
        </w:tc>
        <w:tc>
          <w:tcPr>
            <w:tcW w:type="dxa" w:w="1008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  <w:tc>
          <w:tcPr>
            <w:tcW w:type="dxa" w:w="3600"/>
          </w:tcPr>
          <w:p>
            <w:r/>
            <w:r>
              <w:rPr>
                <w:rFonts w:ascii="Arial" w:hAnsi="Arial"/>
                <w:b w:val="0"/>
                <w:sz w:val="16"/>
              </w:rPr>
              <w:t>Execution behind plan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Strategic risks over appetite</w:t>
            </w:r>
          </w:p>
        </w:tc>
        <w:tc>
          <w:tcPr>
            <w:tcW w:type="dxa" w:w="12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1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0</w:t>
            </w:r>
          </w:p>
        </w:tc>
        <w:tc>
          <w:tcPr>
            <w:tcW w:type="dxa" w:w="1008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  <w:tc>
          <w:tcPr>
            <w:tcW w:type="dxa" w:w="360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One critical execution risk</w:t>
            </w:r>
          </w:p>
        </w:tc>
      </w:tr>
    </w:tbl>
    <w:p>
      <w:pPr>
        <w:pStyle w:val="Heading1"/>
      </w:pPr>
      <w:r>
        <w:t>2. Growth &amp; Value (example)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432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KPI</w:t>
            </w:r>
          </w:p>
        </w:tc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Value</w:t>
            </w:r>
          </w:p>
        </w:tc>
        <w:tc>
          <w:tcPr>
            <w:tcW w:type="dxa" w:w="201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Threshold</w:t>
            </w:r>
          </w:p>
        </w:tc>
        <w:tc>
          <w:tcPr>
            <w:tcW w:type="dxa" w:w="12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RAG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6"/>
              </w:rPr>
              <w:t>Revenue growth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12%</w:t>
            </w:r>
          </w:p>
        </w:tc>
        <w:tc>
          <w:tcPr>
            <w:tcW w:type="dxa" w:w="2016"/>
          </w:tcPr>
          <w:p>
            <w:r/>
            <w:r>
              <w:rPr>
                <w:rFonts w:ascii="Arial" w:hAnsi="Arial"/>
                <w:b w:val="0"/>
                <w:sz w:val="16"/>
              </w:rPr>
              <w:t>≥15%</w:t>
            </w:r>
          </w:p>
        </w:tc>
        <w:tc>
          <w:tcPr>
            <w:tcW w:type="dxa" w:w="1296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</w:tr>
      <w:tr>
        <w:tc>
          <w:tcPr>
            <w:tcW w:type="dxa" w:w="432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ROIC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11%</w:t>
            </w:r>
          </w:p>
        </w:tc>
        <w:tc>
          <w:tcPr>
            <w:tcW w:type="dxa" w:w="201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≥14%</w:t>
            </w:r>
          </w:p>
        </w:tc>
        <w:tc>
          <w:tcPr>
            <w:tcW w:type="dxa" w:w="1296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6"/>
              </w:rPr>
              <w:t>New-market contribution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4%</w:t>
            </w:r>
          </w:p>
        </w:tc>
        <w:tc>
          <w:tcPr>
            <w:tcW w:type="dxa" w:w="2016"/>
          </w:tcPr>
          <w:p>
            <w:r/>
            <w:r>
              <w:rPr>
                <w:rFonts w:ascii="Arial" w:hAnsi="Arial"/>
                <w:b w:val="0"/>
                <w:sz w:val="16"/>
              </w:rPr>
              <w:t>Rising</w:t>
            </w:r>
          </w:p>
        </w:tc>
        <w:tc>
          <w:tcPr>
            <w:tcW w:type="dxa" w:w="1296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</w:tr>
      <w:tr>
        <w:tc>
          <w:tcPr>
            <w:tcW w:type="dxa" w:w="432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Pipeline coverage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2.5x</w:t>
            </w:r>
          </w:p>
        </w:tc>
        <w:tc>
          <w:tcPr>
            <w:tcW w:type="dxa" w:w="201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≥3x</w:t>
            </w:r>
          </w:p>
        </w:tc>
        <w:tc>
          <w:tcPr>
            <w:tcW w:type="dxa" w:w="1296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</w:tr>
    </w:tbl>
    <w:p>
      <w:pPr>
        <w:pStyle w:val="Heading1"/>
      </w:pPr>
      <w:r>
        <w:t>3. Execution (example)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432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KPI</w:t>
            </w:r>
          </w:p>
        </w:tc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Value</w:t>
            </w:r>
          </w:p>
        </w:tc>
        <w:tc>
          <w:tcPr>
            <w:tcW w:type="dxa" w:w="230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Threshold</w:t>
            </w:r>
          </w:p>
        </w:tc>
        <w:tc>
          <w:tcPr>
            <w:tcW w:type="dxa" w:w="12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RAG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6"/>
              </w:rPr>
              <w:t>Initiatives on track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20%</w:t>
            </w:r>
          </w:p>
        </w:tc>
        <w:tc>
          <w:tcPr>
            <w:tcW w:type="dxa" w:w="2304"/>
          </w:tcPr>
          <w:p>
            <w:r/>
            <w:r>
              <w:rPr>
                <w:rFonts w:ascii="Arial" w:hAnsi="Arial"/>
                <w:b w:val="0"/>
                <w:sz w:val="16"/>
              </w:rPr>
              <w:t>≥85%</w:t>
            </w:r>
          </w:p>
        </w:tc>
        <w:tc>
          <w:tcPr>
            <w:tcW w:type="dxa" w:w="1296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</w:tr>
      <w:tr>
        <w:tc>
          <w:tcPr>
            <w:tcW w:type="dxa" w:w="432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Milestone hit rate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30%</w:t>
            </w:r>
          </w:p>
        </w:tc>
        <w:tc>
          <w:tcPr>
            <w:tcW w:type="dxa" w:w="230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≥90%</w:t>
            </w:r>
          </w:p>
        </w:tc>
        <w:tc>
          <w:tcPr>
            <w:tcW w:type="dxa" w:w="1296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6"/>
              </w:rPr>
              <w:t>At-risk initiatives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4</w:t>
            </w:r>
          </w:p>
        </w:tc>
        <w:tc>
          <w:tcPr>
            <w:tcW w:type="dxa" w:w="2304"/>
          </w:tcPr>
          <w:p>
            <w:r/>
            <w:r>
              <w:rPr>
                <w:rFonts w:ascii="Arial" w:hAnsi="Arial"/>
                <w:b w:val="0"/>
                <w:sz w:val="16"/>
              </w:rPr>
              <w:t>0</w:t>
            </w:r>
          </w:p>
        </w:tc>
        <w:tc>
          <w:tcPr>
            <w:tcW w:type="dxa" w:w="1296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</w:tr>
      <w:tr>
        <w:tc>
          <w:tcPr>
            <w:tcW w:type="dxa" w:w="432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Budget utilisation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On plan</w:t>
            </w:r>
          </w:p>
        </w:tc>
        <w:tc>
          <w:tcPr>
            <w:tcW w:type="dxa" w:w="230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On plan</w:t>
            </w:r>
          </w:p>
        </w:tc>
        <w:tc>
          <w:tcPr>
            <w:tcW w:type="dxa" w:w="1296"/>
            <w:shd w:val="clear" w:fill="F4F7FB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</w:tr>
    </w:tbl>
    <w:p>
      <w:pPr>
        <w:pStyle w:val="Heading1"/>
      </w:pPr>
      <w:r>
        <w:t>4. How to Read These Dashboards</w:t>
      </w:r>
    </w:p>
    <w:p>
      <w:pPr>
        <w:pStyle w:val="ListBullet"/>
      </w:pPr>
      <w:r>
        <w:rPr>
          <w:sz w:val="19"/>
        </w:rPr>
        <w:t>RAG: Green = on/above target; Amber = approaching; Red = below threshold / breach.</w:t>
      </w:r>
    </w:p>
    <w:p>
      <w:pPr>
        <w:pStyle w:val="ListBullet"/>
      </w:pPr>
      <w:r>
        <w:rPr>
          <w:sz w:val="19"/>
        </w:rPr>
        <w:t>Focus board time on Red items and worsening trends.</w:t>
      </w:r>
    </w:p>
    <w:p>
      <w:pPr>
        <w:pStyle w:val="ListBullet"/>
      </w:pPr>
      <w:r>
        <w:rPr>
          <w:sz w:val="19"/>
        </w:rPr>
        <w:t>Every Red should have a named owner, action and date.</w:t>
      </w:r>
    </w:p>
    <w:p>
      <w:pPr>
        <w:pStyle w:val="ListBullet"/>
      </w:pPr>
      <w:r>
        <w:rPr>
          <w:sz w:val="19"/>
        </w:rPr>
        <w:t>Thresholds derive from the approved strategy and plan — review them annually.</w:t>
      </w:r>
    </w:p>
    <w:p>
      <w:pPr>
        <w:pStyle w:val="Heading2"/>
      </w:pPr>
      <w:r>
        <w:t>Notes &amp; Disclaimer</w:t>
      </w:r>
    </w:p>
    <w:p>
      <w:r>
        <w:rPr>
          <w:b w:val="0"/>
          <w:i/>
          <w:sz w:val="18"/>
        </w:rPr>
        <w:t>This toolkit is a professional management resource. Calibrate frameworks, scoring, KPIs and governance to your organisation, sector and strategy. Targets and thresholds are illustrative and should be set by leadership.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0243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B4D8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B4D8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