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Governance Reporting Toolkit™</w:t>
      </w:r>
    </w:p>
    <w:p>
      <w:pPr>
        <w:jc w:val="center"/>
      </w:pPr>
      <w:r>
        <w:rPr>
          <w:color w:val="C97B2C"/>
          <w:sz w:val="26"/>
        </w:rPr>
        <w:t>Produce clear, compliant governance reporting</w:t>
      </w:r>
    </w:p>
    <w:p/>
    <w:p/>
    <w:p>
      <w:pPr>
        <w:jc w:val="center"/>
      </w:pPr>
      <w:r>
        <w:rPr>
          <w:color w:val="555555"/>
          <w:sz w:val="20"/>
        </w:rPr>
        <w:t>Company Secretary / Governance / Board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Full Guide</w:t>
      </w:r>
    </w:p>
    <w:p>
      <w:r>
        <w:rPr>
          <w:b w:val="0"/>
          <w:i w:val="0"/>
          <w:sz w:val="20"/>
        </w:rPr>
        <w:t>This toolkit helps produce high-quality governance reporting — the governance report, board and committee papers, and disclosures — aligned to NCCG 2018 reporting and FRCN/SEC disclosure expectations.</w:t>
      </w:r>
    </w:p>
    <w:p>
      <w:pPr>
        <w:pStyle w:val="Heading2"/>
      </w:pPr>
      <w:r>
        <w:t>Operating lifecycle</w:t>
      </w:r>
    </w:p>
    <w:p>
      <w:pPr>
        <w:pStyle w:val="ListNumber"/>
      </w:pPr>
      <w:r>
        <w:rPr>
          <w:sz w:val="19"/>
        </w:rPr>
        <w:t>Plan — set the reporting calendar and content</w:t>
      </w:r>
    </w:p>
    <w:p>
      <w:pPr>
        <w:pStyle w:val="ListNumber"/>
      </w:pPr>
      <w:r>
        <w:rPr>
          <w:sz w:val="19"/>
        </w:rPr>
        <w:t>Draft — prepare the governance report and papers</w:t>
      </w:r>
    </w:p>
    <w:p>
      <w:pPr>
        <w:pStyle w:val="ListNumber"/>
      </w:pPr>
      <w:r>
        <w:rPr>
          <w:sz w:val="19"/>
        </w:rPr>
        <w:t>Review — quality-assure content and disclosures</w:t>
      </w:r>
    </w:p>
    <w:p>
      <w:pPr>
        <w:pStyle w:val="ListNumber"/>
      </w:pPr>
      <w:r>
        <w:rPr>
          <w:sz w:val="19"/>
        </w:rPr>
        <w:t>Approve — board approval</w:t>
      </w:r>
    </w:p>
    <w:p>
      <w:pPr>
        <w:pStyle w:val="ListNumber"/>
      </w:pPr>
      <w:r>
        <w:rPr>
          <w:sz w:val="19"/>
        </w:rPr>
        <w:t>Disclose — publish and file on time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non-compliant</w:t>
            </w:r>
          </w:p>
        </w:tc>
        <w:tc>
          <w:tcPr>
            <w:tcW w:type="dxa" w:w="2232"/>
          </w:tcPr>
          <w:p>
            <w:r/>
            <w:r>
              <w:rPr>
                <w:rFonts w:ascii="Arial" w:hAnsi="Arial"/>
                <w:b w:val="0"/>
                <w:sz w:val="16"/>
              </w:rPr>
              <w:t>Basic, inconsistent</w:t>
            </w:r>
          </w:p>
        </w:tc>
        <w:tc>
          <w:tcPr>
            <w:tcW w:type="dxa" w:w="2232"/>
          </w:tcPr>
          <w:p>
            <w:r/>
            <w:r>
              <w:rPr>
                <w:rFonts w:ascii="Arial" w:hAnsi="Arial"/>
                <w:b w:val="0"/>
                <w:sz w:val="16"/>
              </w:rPr>
              <w:t>Code-aligned &amp; consistent</w:t>
            </w:r>
          </w:p>
        </w:tc>
        <w:tc>
          <w:tcPr>
            <w:tcW w:type="dxa" w:w="2232"/>
          </w:tcPr>
          <w:p>
            <w:r/>
            <w:r>
              <w:rPr>
                <w:rFonts w:ascii="Arial" w:hAnsi="Arial"/>
                <w:b w:val="0"/>
                <w:sz w:val="16"/>
              </w:rPr>
              <w:t>Measured &amp; assured</w:t>
            </w:r>
          </w:p>
        </w:tc>
        <w:tc>
          <w:tcPr>
            <w:tcW w:type="dxa" w:w="2232"/>
          </w:tcPr>
          <w:p>
            <w:r/>
            <w:r>
              <w:rPr>
                <w:rFonts w:ascii="Arial" w:hAnsi="Arial"/>
                <w:b w:val="0"/>
                <w:sz w:val="16"/>
              </w:rPr>
              <w:t>Leading-practice &amp; value-creating</w:t>
            </w:r>
          </w:p>
        </w:tc>
      </w:tr>
    </w:tbl>
    <w:p>
      <w:pPr>
        <w:pStyle w:val="Heading2"/>
      </w:pPr>
      <w:r>
        <w:t>Key components</w:t>
      </w:r>
    </w:p>
    <w:p>
      <w:pPr>
        <w:pStyle w:val="ListBullet"/>
      </w:pPr>
      <w:r>
        <w:rPr>
          <w:sz w:val="19"/>
        </w:rPr>
        <w:t>Governance report</w:t>
      </w:r>
    </w:p>
    <w:p>
      <w:pPr>
        <w:pStyle w:val="ListBullet"/>
      </w:pPr>
      <w:r>
        <w:rPr>
          <w:sz w:val="19"/>
        </w:rPr>
        <w:t>Board and committee papers</w:t>
      </w:r>
    </w:p>
    <w:p>
      <w:pPr>
        <w:pStyle w:val="ListBullet"/>
      </w:pPr>
      <w:r>
        <w:rPr>
          <w:sz w:val="19"/>
        </w:rPr>
        <w:t>Disclosure content</w:t>
      </w:r>
    </w:p>
    <w:p>
      <w:pPr>
        <w:pStyle w:val="ListBullet"/>
      </w:pPr>
      <w:r>
        <w:rPr>
          <w:sz w:val="19"/>
        </w:rPr>
        <w:t>Reporting calendar</w:t>
      </w:r>
    </w:p>
    <w:p>
      <w:pPr>
        <w:pStyle w:val="ListBullet"/>
      </w:pPr>
      <w:r>
        <w:rPr>
          <w:sz w:val="19"/>
        </w:rPr>
        <w:t>Quality and assurance</w:t>
      </w:r>
    </w:p>
    <w:p>
      <w:pPr>
        <w:pStyle w:val="ListBullet"/>
      </w:pPr>
      <w:r>
        <w:rPr>
          <w:sz w:val="19"/>
        </w:rPr>
        <w:t>Stakeholder communication</w:t>
      </w:r>
    </w:p>
    <w:p>
      <w:pPr>
        <w:pStyle w:val="Heading1"/>
      </w:pPr>
      <w:r>
        <w:t>2. Templates &amp; Contents</w:t>
      </w:r>
    </w:p>
    <w:p>
      <w:pPr>
        <w:pStyle w:val="Heading3"/>
      </w:pPr>
      <w:r>
        <w:t>Governance report template</w:t>
      </w:r>
    </w:p>
    <w:p>
      <w:r>
        <w:rPr>
          <w:b w:val="0"/>
          <w:i w:val="0"/>
          <w:sz w:val="19"/>
        </w:rPr>
        <w:t>Structure for the annual governance report.</w:t>
      </w:r>
    </w:p>
    <w:p>
      <w:pPr>
        <w:pStyle w:val="Heading3"/>
      </w:pPr>
      <w:r>
        <w:t>Board paper template &amp; standard</w:t>
      </w:r>
    </w:p>
    <w:p>
      <w:r>
        <w:rPr>
          <w:b w:val="0"/>
          <w:i w:val="0"/>
          <w:sz w:val="19"/>
        </w:rPr>
        <w:t>Consistent, decision-grade board papers.</w:t>
      </w:r>
    </w:p>
    <w:p>
      <w:pPr>
        <w:pStyle w:val="Heading3"/>
      </w:pPr>
      <w:r>
        <w:t>Governance reporting pack</w:t>
      </w:r>
    </w:p>
    <w:p>
      <w:r>
        <w:rPr>
          <w:b w:val="0"/>
          <w:i w:val="0"/>
          <w:sz w:val="19"/>
        </w:rPr>
        <w:t>Standard pack for board/committee reporting.</w:t>
      </w:r>
    </w:p>
    <w:p>
      <w:pPr>
        <w:pStyle w:val="Heading3"/>
      </w:pPr>
      <w:r>
        <w:t>Disclosure checklist</w:t>
      </w:r>
    </w:p>
    <w:p>
      <w:r>
        <w:rPr>
          <w:b w:val="0"/>
          <w:i w:val="0"/>
          <w:sz w:val="19"/>
        </w:rPr>
        <w:t>Confirm required disclosures are complete and timely.</w:t>
      </w:r>
    </w:p>
    <w:p>
      <w:pPr>
        <w:pStyle w:val="Heading1"/>
      </w:pPr>
      <w:r>
        <w:t>3. Checklists</w:t>
      </w:r>
    </w:p>
    <w:p>
      <w:pPr>
        <w:ind w:left="288"/>
      </w:pPr>
      <w:r>
        <w:rPr>
          <w:sz w:val="19"/>
        </w:rPr>
        <w:t>☐  Reporting calendar in place</w:t>
      </w:r>
    </w:p>
    <w:p>
      <w:pPr>
        <w:ind w:left="288"/>
      </w:pPr>
      <w:r>
        <w:rPr>
          <w:sz w:val="19"/>
        </w:rPr>
        <w:t>☐  Governance report meets NCCG 2018 expectations</w:t>
      </w:r>
    </w:p>
    <w:p>
      <w:pPr>
        <w:ind w:left="288"/>
      </w:pPr>
      <w:r>
        <w:rPr>
          <w:sz w:val="19"/>
        </w:rPr>
        <w:t>☐  Board papers meet the standard</w:t>
      </w:r>
    </w:p>
    <w:p>
      <w:pPr>
        <w:ind w:left="288"/>
      </w:pPr>
      <w:r>
        <w:rPr>
          <w:sz w:val="19"/>
        </w:rPr>
        <w:t>☐  Disclosures complete and accurate</w:t>
      </w:r>
    </w:p>
    <w:p>
      <w:pPr>
        <w:ind w:left="288"/>
      </w:pPr>
      <w:r>
        <w:rPr>
          <w:sz w:val="19"/>
        </w:rPr>
        <w:t>☐  Reporting quality assured</w:t>
      </w:r>
    </w:p>
    <w:p>
      <w:pPr>
        <w:ind w:left="288"/>
      </w:pPr>
      <w:r>
        <w:rPr>
          <w:sz w:val="19"/>
        </w:rPr>
        <w:t>☐  Filings made on time</w:t>
      </w:r>
    </w:p>
    <w:p>
      <w:pPr>
        <w:ind w:left="288"/>
      </w:pPr>
      <w:r>
        <w:rPr>
          <w:sz w:val="19"/>
        </w:rPr>
        <w:t>☐  Stakeholder communication considered</w:t>
      </w:r>
    </w:p>
    <w:p>
      <w:pPr>
        <w:pStyle w:val="Heading2"/>
      </w:pPr>
      <w:r>
        <w:t>Governance Structure</w:t>
      </w:r>
    </w:p>
    <w:p>
      <w:r>
        <w:rPr>
          <w:b w:val="0"/>
          <w:i w:val="0"/>
          <w:sz w:val="20"/>
        </w:rPr>
        <w:t>Governance operates under clear board accountability, aligned to NCCG 2018 and CAMA:</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Layer</w:t>
            </w:r>
          </w:p>
        </w:tc>
        <w:tc>
          <w:tcPr>
            <w:tcW w:type="dxa" w:w="8352"/>
            <w:shd w:val="clear" w:fill="1B4D89"/>
          </w:tcPr>
          <w:p>
            <w:r/>
            <w:r>
              <w:rPr>
                <w:rFonts w:ascii="Arial" w:hAnsi="Arial"/>
                <w:b/>
                <w:color w:val="FFFFFF"/>
                <w:sz w:val="16"/>
              </w:rPr>
              <w:t>Role</w:t>
            </w:r>
          </w:p>
        </w:tc>
      </w:tr>
      <w:tr>
        <w:tc>
          <w:tcPr>
            <w:tcW w:type="dxa" w:w="3168"/>
          </w:tcPr>
          <w:p>
            <w:r/>
            <w:r>
              <w:rPr>
                <w:rFonts w:ascii="Arial" w:hAnsi="Arial"/>
                <w:b w:val="0"/>
                <w:sz w:val="16"/>
              </w:rPr>
              <w:t>Board</w:t>
            </w:r>
          </w:p>
        </w:tc>
        <w:tc>
          <w:tcPr>
            <w:tcW w:type="dxa" w:w="8352"/>
          </w:tcPr>
          <w:p>
            <w:r/>
            <w:r>
              <w:rPr>
                <w:rFonts w:ascii="Arial" w:hAnsi="Arial"/>
                <w:b w:val="0"/>
                <w:sz w:val="16"/>
              </w:rPr>
              <w:t>Accountable for governance; sets direction, approves policy, oversees</w:t>
            </w:r>
          </w:p>
        </w:tc>
      </w:tr>
      <w:tr>
        <w:tc>
          <w:tcPr>
            <w:tcW w:type="dxa" w:w="3168"/>
            <w:shd w:val="clear" w:fill="F4F7FB"/>
          </w:tcPr>
          <w:p>
            <w:r/>
            <w:r>
              <w:rPr>
                <w:rFonts w:ascii="Arial" w:hAnsi="Arial"/>
                <w:b w:val="0"/>
                <w:sz w:val="16"/>
              </w:rPr>
              <w:t>Board committees</w:t>
            </w:r>
          </w:p>
        </w:tc>
        <w:tc>
          <w:tcPr>
            <w:tcW w:type="dxa" w:w="8352"/>
            <w:shd w:val="clear" w:fill="F4F7FB"/>
          </w:tcPr>
          <w:p>
            <w:r/>
            <w:r>
              <w:rPr>
                <w:rFonts w:ascii="Arial" w:hAnsi="Arial"/>
                <w:b w:val="0"/>
                <w:sz w:val="16"/>
              </w:rPr>
              <w:t>Audit, risk, remuneration, nomination/governance — focused oversight</w:t>
            </w:r>
          </w:p>
        </w:tc>
      </w:tr>
      <w:tr>
        <w:tc>
          <w:tcPr>
            <w:tcW w:type="dxa" w:w="3168"/>
          </w:tcPr>
          <w:p>
            <w:r/>
            <w:r>
              <w:rPr>
                <w:rFonts w:ascii="Arial" w:hAnsi="Arial"/>
                <w:b w:val="0"/>
                <w:sz w:val="16"/>
              </w:rPr>
              <w:t>Chair</w:t>
            </w:r>
          </w:p>
        </w:tc>
        <w:tc>
          <w:tcPr>
            <w:tcW w:type="dxa" w:w="8352"/>
          </w:tcPr>
          <w:p>
            <w:r/>
            <w:r>
              <w:rPr>
                <w:rFonts w:ascii="Arial" w:hAnsi="Arial"/>
                <w:b w:val="0"/>
                <w:sz w:val="16"/>
              </w:rPr>
              <w:t>Leads the board; ensures effectiveness</w:t>
            </w:r>
          </w:p>
        </w:tc>
      </w:tr>
      <w:tr>
        <w:tc>
          <w:tcPr>
            <w:tcW w:type="dxa" w:w="3168"/>
            <w:shd w:val="clear" w:fill="F4F7FB"/>
          </w:tcPr>
          <w:p>
            <w:r/>
            <w:r>
              <w:rPr>
                <w:rFonts w:ascii="Arial" w:hAnsi="Arial"/>
                <w:b w:val="0"/>
                <w:sz w:val="16"/>
              </w:rPr>
              <w:t>Company secretary</w:t>
            </w:r>
          </w:p>
        </w:tc>
        <w:tc>
          <w:tcPr>
            <w:tcW w:type="dxa" w:w="8352"/>
            <w:shd w:val="clear" w:fill="F4F7FB"/>
          </w:tcPr>
          <w:p>
            <w:r/>
            <w:r>
              <w:rPr>
                <w:rFonts w:ascii="Arial" w:hAnsi="Arial"/>
                <w:b w:val="0"/>
                <w:sz w:val="16"/>
              </w:rPr>
              <w:t>Enables governance; advises the board; maintains records</w:t>
            </w:r>
          </w:p>
        </w:tc>
      </w:tr>
      <w:tr>
        <w:tc>
          <w:tcPr>
            <w:tcW w:type="dxa" w:w="3168"/>
          </w:tcPr>
          <w:p>
            <w:r/>
            <w:r>
              <w:rPr>
                <w:rFonts w:ascii="Arial" w:hAnsi="Arial"/>
                <w:b w:val="0"/>
                <w:sz w:val="16"/>
              </w:rPr>
              <w:t>Management</w:t>
            </w:r>
          </w:p>
        </w:tc>
        <w:tc>
          <w:tcPr>
            <w:tcW w:type="dxa" w:w="8352"/>
          </w:tcPr>
          <w:p>
            <w:r/>
            <w:r>
              <w:rPr>
                <w:rFonts w:ascii="Arial" w:hAnsi="Arial"/>
                <w:b w:val="0"/>
                <w:sz w:val="16"/>
              </w:rPr>
              <w:t>Implements; provides information and assurance</w:t>
            </w:r>
          </w:p>
        </w:tc>
      </w:tr>
      <w:tr>
        <w:tc>
          <w:tcPr>
            <w:tcW w:type="dxa" w:w="3168"/>
            <w:shd w:val="clear" w:fill="F4F7FB"/>
          </w:tcPr>
          <w:p>
            <w:r/>
            <w:r>
              <w:rPr>
                <w:rFonts w:ascii="Arial" w:hAnsi="Arial"/>
                <w:b w:val="0"/>
                <w:sz w:val="16"/>
              </w:rPr>
              <w:t>Internal audit</w:t>
            </w:r>
          </w:p>
        </w:tc>
        <w:tc>
          <w:tcPr>
            <w:tcW w:type="dxa" w:w="8352"/>
            <w:shd w:val="clear" w:fill="F4F7FB"/>
          </w:tcPr>
          <w:p>
            <w:r/>
            <w:r>
              <w:rPr>
                <w:rFonts w:ascii="Arial" w:hAnsi="Arial"/>
                <w:b w:val="0"/>
                <w:sz w:val="16"/>
              </w:rPr>
              <w:t>Independent assurance over governance, risk and control</w:t>
            </w:r>
          </w:p>
        </w:tc>
      </w:tr>
    </w:tbl>
    <w:p>
      <w:pPr>
        <w:pStyle w:val="Heading2"/>
      </w:pPr>
      <w:r>
        <w:t>Reporting Template</w:t>
      </w:r>
    </w:p>
    <w:p>
      <w:r>
        <w:rPr>
          <w:b w:val="0"/>
          <w:i w:val="0"/>
          <w:sz w:val="19"/>
        </w:rPr>
        <w:t>Standard report: executive summary · status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Disclosure completeness</w:t>
            </w:r>
          </w:p>
        </w:tc>
        <w:tc>
          <w:tcPr>
            <w:tcW w:type="dxa" w:w="1440"/>
          </w:tcPr>
          <w:p>
            <w:r/>
            <w:r>
              <w:rPr>
                <w:rFonts w:ascii="Arial" w:hAnsi="Arial"/>
                <w:b w:val="0"/>
                <w:sz w:val="16"/>
              </w:rPr>
              <w:t>100%</w:t>
            </w:r>
          </w:p>
        </w:tc>
        <w:tc>
          <w:tcPr>
            <w:tcW w:type="dxa" w:w="1728"/>
          </w:tcPr>
          <w:p>
            <w:r/>
            <w:r>
              <w:rPr>
                <w:rFonts w:ascii="Arial" w:hAnsi="Arial"/>
                <w:b w:val="0"/>
                <w:sz w:val="16"/>
              </w:rPr>
              <w:t>100%</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Disclosure timeliness</w:t>
            </w:r>
          </w:p>
        </w:tc>
        <w:tc>
          <w:tcPr>
            <w:tcW w:type="dxa" w:w="1440"/>
            <w:shd w:val="clear" w:fill="F4F7FB"/>
          </w:tcPr>
          <w:p>
            <w:r/>
            <w:r>
              <w:rPr>
                <w:rFonts w:ascii="Arial" w:hAnsi="Arial"/>
                <w:b w:val="0"/>
                <w:sz w:val="16"/>
              </w:rPr>
              <w:t>96%</w:t>
            </w:r>
          </w:p>
        </w:tc>
        <w:tc>
          <w:tcPr>
            <w:tcW w:type="dxa" w:w="1728"/>
            <w:shd w:val="clear" w:fill="F4F7FB"/>
          </w:tcPr>
          <w:p>
            <w:r/>
            <w:r>
              <w:rPr>
                <w:rFonts w:ascii="Arial" w:hAnsi="Arial"/>
                <w:b w:val="0"/>
                <w:sz w:val="16"/>
              </w:rPr>
              <w:t>≥95%</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Report quality</w:t>
            </w:r>
          </w:p>
        </w:tc>
        <w:tc>
          <w:tcPr>
            <w:tcW w:type="dxa" w:w="1440"/>
          </w:tcPr>
          <w:p>
            <w:r/>
            <w:r>
              <w:rPr>
                <w:rFonts w:ascii="Arial" w:hAnsi="Arial"/>
                <w:b w:val="0"/>
                <w:sz w:val="16"/>
              </w:rPr>
              <w:t>High</w:t>
            </w:r>
          </w:p>
        </w:tc>
        <w:tc>
          <w:tcPr>
            <w:tcW w:type="dxa" w:w="1728"/>
          </w:tcPr>
          <w:p>
            <w:r/>
            <w:r>
              <w:rPr>
                <w:rFonts w:ascii="Arial" w:hAnsi="Arial"/>
                <w:b w:val="0"/>
                <w:sz w:val="16"/>
              </w:rPr>
              <w:t>High</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Board pack timeliness</w:t>
            </w:r>
          </w:p>
        </w:tc>
        <w:tc>
          <w:tcPr>
            <w:tcW w:type="dxa" w:w="1440"/>
            <w:shd w:val="clear" w:fill="F4F7FB"/>
          </w:tcPr>
          <w:p>
            <w:r/>
            <w:r>
              <w:rPr>
                <w:rFonts w:ascii="Arial" w:hAnsi="Arial"/>
                <w:b w:val="0"/>
                <w:sz w:val="16"/>
              </w:rPr>
              <w:t>88%</w:t>
            </w:r>
          </w:p>
        </w:tc>
        <w:tc>
          <w:tcPr>
            <w:tcW w:type="dxa" w:w="1728"/>
            <w:shd w:val="clear" w:fill="F4F7FB"/>
          </w:tcPr>
          <w:p>
            <w:r/>
            <w:r>
              <w:rPr>
                <w:rFonts w:ascii="Arial" w:hAnsi="Arial"/>
                <w:b w:val="0"/>
                <w:sz w:val="16"/>
              </w:rPr>
              <w:t>≥95%</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Improve timeliness</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Reporting</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Complete and timely disclosures</w:t>
            </w:r>
          </w:p>
        </w:tc>
      </w:tr>
      <w:tr>
        <w:tc>
          <w:tcPr>
            <w:tcW w:type="dxa" w:w="2736"/>
            <w:shd w:val="clear" w:fill="F4F7FB"/>
          </w:tcPr>
          <w:p>
            <w:r/>
            <w:r>
              <w:rPr>
                <w:rFonts w:ascii="Arial" w:hAnsi="Arial"/>
                <w:b w:val="0"/>
                <w:sz w:val="16"/>
              </w:rPr>
              <w:t>Quality</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Governance report assessed high quality</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Board pack timeliness to improve</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Note reporting position</w:t>
            </w:r>
          </w:p>
        </w:tc>
      </w:tr>
    </w:tbl>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