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Pr>
        <w:jc w:val="center"/>
      </w:pPr>
      <w:r>
        <w:rPr>
          <w:b/>
          <w:color w:val="1B4D89"/>
          <w:sz w:val="24"/>
        </w:rPr>
        <w:t>OUTLIERS CFO EXCELLENCE CENTRE™</w:t>
      </w:r>
    </w:p>
    <w:p>
      <w:pPr>
        <w:jc w:val="center"/>
      </w:pPr>
      <w:r>
        <w:rPr>
          <w:b/>
          <w:color w:val="10243F"/>
          <w:sz w:val="52"/>
        </w:rPr>
        <w:t>E-Invoicing Compliance Guide</w:t>
      </w:r>
    </w:p>
    <w:p>
      <w:pPr>
        <w:jc w:val="center"/>
      </w:pPr>
      <w:r>
        <w:rPr>
          <w:color w:val="555555"/>
          <w:sz w:val="26"/>
        </w:rPr>
        <w:t>Meeting the NRS National E-Invoicing Mandate</w:t>
      </w:r>
    </w:p>
    <w:p/>
    <w:p>
      <w:pPr>
        <w:jc w:val="center"/>
      </w:pPr>
      <w:r>
        <w:rPr>
          <w:color w:val="555555"/>
          <w:sz w:val="20"/>
        </w:rPr>
        <w:t>Tax Excellence  ·  Tax / FC / Finance Systems  ·  Access Tier T2  ·  Edition 2026</w:t>
      </w:r>
    </w:p>
    <w:p>
      <w:pPr>
        <w:jc w:val="center"/>
      </w:pPr>
      <w:r>
        <w:rPr>
          <w:i/>
          <w:color w:val="555555"/>
          <w:sz w:val="18"/>
        </w:rPr>
        <w:t>Regime: Nigeria Tax Act 2025 (NTA 2025) &amp; Nigeria Tax Administration Act 2025 — administered by the Nigeria Revenue Service (NRS)</w:t>
      </w:r>
    </w:p>
    <w:p>
      <w:r>
        <w:br w:type="page"/>
      </w:r>
    </w:p>
    <w:p>
      <w:r>
        <w:rPr>
          <w:b/>
          <w:color w:val="B23A48"/>
          <w:sz w:val="21"/>
        </w:rPr>
        <w:t>⚠ IMPORTANT — VERIFICATION &amp; LEGAL STATUS</w:t>
      </w:r>
    </w:p>
    <w:p>
      <w:r>
        <w:rPr>
          <w:i/>
          <w:sz w:val="18"/>
        </w:rPr>
        <w:t>This resource is implementation content for management use; it is NOT legal or tax advice and is not a substitute for a licensed Nigerian tax practitioner (CITN). The Nigeria Tax Act 2025 took effect on 1 January 2026 and continues to be clarified by NRS regulations and circulars. Every rate, threshold, band and date stated here is INDICATIVE and must be verified against the enacted Acts and current NRS / State IRS guidance before reliance. The Nigeria Revenue Service (NRS) replaces the FIRS from 2026.</w:t>
      </w:r>
    </w:p>
    <w:p>
      <w:pPr>
        <w:pStyle w:val="Heading1"/>
      </w:pPr>
      <w:r>
        <w:t>1. What the Mandate Requires</w:t>
      </w:r>
    </w:p>
    <w:p>
      <w:r>
        <w:rPr>
          <w:sz w:val="21"/>
        </w:rPr>
        <w:t>Under the NTAA 2025, the Nigeria Revenue Service operates a national electronic-invoicing system. Taxpayers must generate invoices in the prescribed digital format, obtain validation and a unique Invoice Reference Number (IRN), and transmit invoice data to the NRS on a real-time or near-real-time basis. Rollout is phased by taxpayer category, beginning with large taxpayers.</w:t>
      </w:r>
    </w:p>
    <w:p>
      <w:pPr>
        <w:pStyle w:val="Heading1"/>
      </w:pPr>
      <w:r>
        <w:t>2. How the System Works (merchant–buyer / access-point model)</w:t>
      </w:r>
    </w:p>
    <w:p>
      <w:pPr>
        <w:pStyle w:val="Heading3"/>
      </w:pPr>
      <w:r>
        <w:t>Stage 1: Generate</w:t>
      </w:r>
    </w:p>
    <w:p>
      <w:r>
        <w:rPr>
          <w:sz w:val="20"/>
        </w:rPr>
        <w:t>The seller's system creates the invoice with all mandatory fields.</w:t>
      </w:r>
    </w:p>
    <w:p>
      <w:pPr>
        <w:pStyle w:val="Heading3"/>
      </w:pPr>
      <w:r>
        <w:t>Stage 2: Transmit</w:t>
      </w:r>
    </w:p>
    <w:p>
      <w:r>
        <w:rPr>
          <w:sz w:val="20"/>
        </w:rPr>
        <w:t>Invoice data is sent to the NRS platform via an access point / API.</w:t>
      </w:r>
    </w:p>
    <w:p>
      <w:pPr>
        <w:pStyle w:val="Heading3"/>
      </w:pPr>
      <w:r>
        <w:t>Stage 3: Validate</w:t>
      </w:r>
    </w:p>
    <w:p>
      <w:r>
        <w:rPr>
          <w:sz w:val="20"/>
        </w:rPr>
        <w:t>NRS validates and returns a unique IRN (and typically a QR/validation marker).</w:t>
      </w:r>
    </w:p>
    <w:p>
      <w:pPr>
        <w:pStyle w:val="Heading3"/>
      </w:pPr>
      <w:r>
        <w:t>Stage 4: Issue</w:t>
      </w:r>
    </w:p>
    <w:p>
      <w:r>
        <w:rPr>
          <w:sz w:val="20"/>
        </w:rPr>
        <w:t>The validated invoice, bearing the IRN, is issued to the buyer.</w:t>
      </w:r>
    </w:p>
    <w:p>
      <w:pPr>
        <w:pStyle w:val="Heading3"/>
      </w:pPr>
      <w:r>
        <w:t>Stage 5: Report</w:t>
      </w:r>
    </w:p>
    <w:p>
      <w:r>
        <w:rPr>
          <w:sz w:val="20"/>
        </w:rPr>
        <w:t>Data is available to the NRS in near-real-time for VAT and audit purposes.</w:t>
      </w:r>
    </w:p>
    <w:p>
      <w:pPr>
        <w:pStyle w:val="Heading1"/>
      </w:pPr>
      <w:r>
        <w:t>3. Mandatory Invoice Data Fields</w:t>
      </w:r>
    </w:p>
    <w:tbl>
      <w:tblPr>
        <w:tblStyle w:val="TableGrid"/>
        <w:tblW w:type="auto" w:w="0"/>
        <w:jc w:val="center"/>
        <w:tblLook w:firstColumn="1" w:firstRow="1" w:lastColumn="0" w:lastRow="0" w:noHBand="0" w:noVBand="1" w:val="04A0"/>
      </w:tblPr>
      <w:tblGrid>
        <w:gridCol w:w="4824"/>
        <w:gridCol w:w="4824"/>
      </w:tblGrid>
      <w:tr>
        <w:tc>
          <w:tcPr>
            <w:tcW w:type="dxa" w:w="3744"/>
            <w:shd w:val="clear" w:fill="1B4D89"/>
          </w:tcPr>
          <w:p>
            <w:r/>
            <w:r>
              <w:rPr>
                <w:rFonts w:ascii="Arial" w:hAnsi="Arial"/>
                <w:b/>
                <w:color w:val="FFFFFF"/>
                <w:sz w:val="18"/>
              </w:rPr>
              <w:t>Field</w:t>
            </w:r>
          </w:p>
        </w:tc>
        <w:tc>
          <w:tcPr>
            <w:tcW w:type="dxa" w:w="7776"/>
            <w:shd w:val="clear" w:fill="1B4D89"/>
          </w:tcPr>
          <w:p>
            <w:r/>
            <w:r>
              <w:rPr>
                <w:rFonts w:ascii="Arial" w:hAnsi="Arial"/>
                <w:b/>
                <w:color w:val="FFFFFF"/>
                <w:sz w:val="18"/>
              </w:rPr>
              <w:t>Notes</w:t>
            </w:r>
          </w:p>
        </w:tc>
      </w:tr>
      <w:tr>
        <w:tc>
          <w:tcPr>
            <w:tcW w:type="dxa" w:w="3744"/>
          </w:tcPr>
          <w:p>
            <w:r/>
            <w:r>
              <w:rPr>
                <w:rFonts w:ascii="Arial" w:hAnsi="Arial"/>
                <w:b w:val="0"/>
                <w:sz w:val="18"/>
              </w:rPr>
              <w:t>Supplier name &amp; TIN</w:t>
            </w:r>
          </w:p>
        </w:tc>
        <w:tc>
          <w:tcPr>
            <w:tcW w:type="dxa" w:w="7776"/>
          </w:tcPr>
          <w:p>
            <w:r/>
            <w:r>
              <w:rPr>
                <w:rFonts w:ascii="Arial" w:hAnsi="Arial"/>
                <w:b w:val="0"/>
                <w:sz w:val="18"/>
              </w:rPr>
              <w:t>Registered taxpayer identifier</w:t>
            </w:r>
          </w:p>
        </w:tc>
      </w:tr>
      <w:tr>
        <w:tc>
          <w:tcPr>
            <w:tcW w:type="dxa" w:w="3744"/>
            <w:shd w:val="clear" w:fill="F6F8FB"/>
          </w:tcPr>
          <w:p>
            <w:r/>
            <w:r>
              <w:rPr>
                <w:rFonts w:ascii="Arial" w:hAnsi="Arial"/>
                <w:b w:val="0"/>
                <w:sz w:val="18"/>
              </w:rPr>
              <w:t>Buyer name &amp; TIN</w:t>
            </w:r>
          </w:p>
        </w:tc>
        <w:tc>
          <w:tcPr>
            <w:tcW w:type="dxa" w:w="7776"/>
            <w:shd w:val="clear" w:fill="F6F8FB"/>
          </w:tcPr>
          <w:p>
            <w:r/>
            <w:r>
              <w:rPr>
                <w:rFonts w:ascii="Arial" w:hAnsi="Arial"/>
                <w:b w:val="0"/>
                <w:sz w:val="18"/>
              </w:rPr>
              <w:t>Required for B2B</w:t>
            </w:r>
          </w:p>
        </w:tc>
      </w:tr>
      <w:tr>
        <w:tc>
          <w:tcPr>
            <w:tcW w:type="dxa" w:w="3744"/>
          </w:tcPr>
          <w:p>
            <w:r/>
            <w:r>
              <w:rPr>
                <w:rFonts w:ascii="Arial" w:hAnsi="Arial"/>
                <w:b w:val="0"/>
                <w:sz w:val="18"/>
              </w:rPr>
              <w:t>Invoice Reference Number (IRN)</w:t>
            </w:r>
          </w:p>
        </w:tc>
        <w:tc>
          <w:tcPr>
            <w:tcW w:type="dxa" w:w="7776"/>
          </w:tcPr>
          <w:p>
            <w:r/>
            <w:r>
              <w:rPr>
                <w:rFonts w:ascii="Arial" w:hAnsi="Arial"/>
                <w:b w:val="0"/>
                <w:sz w:val="18"/>
              </w:rPr>
              <w:t>Issued by NRS on validation</w:t>
            </w:r>
          </w:p>
        </w:tc>
      </w:tr>
      <w:tr>
        <w:tc>
          <w:tcPr>
            <w:tcW w:type="dxa" w:w="3744"/>
            <w:shd w:val="clear" w:fill="F6F8FB"/>
          </w:tcPr>
          <w:p>
            <w:r/>
            <w:r>
              <w:rPr>
                <w:rFonts w:ascii="Arial" w:hAnsi="Arial"/>
                <w:b w:val="0"/>
                <w:sz w:val="18"/>
              </w:rPr>
              <w:t>Invoice date &amp; time</w:t>
            </w:r>
          </w:p>
        </w:tc>
        <w:tc>
          <w:tcPr>
            <w:tcW w:type="dxa" w:w="7776"/>
            <w:shd w:val="clear" w:fill="F6F8FB"/>
          </w:tcPr>
          <w:p>
            <w:r/>
            <w:r>
              <w:rPr>
                <w:rFonts w:ascii="Arial" w:hAnsi="Arial"/>
                <w:b w:val="0"/>
                <w:sz w:val="18"/>
              </w:rPr>
              <w:t>Timestamp</w:t>
            </w:r>
          </w:p>
        </w:tc>
      </w:tr>
      <w:tr>
        <w:tc>
          <w:tcPr>
            <w:tcW w:type="dxa" w:w="3744"/>
          </w:tcPr>
          <w:p>
            <w:r/>
            <w:r>
              <w:rPr>
                <w:rFonts w:ascii="Arial" w:hAnsi="Arial"/>
                <w:b w:val="0"/>
                <w:sz w:val="18"/>
              </w:rPr>
              <w:t>Line items</w:t>
            </w:r>
          </w:p>
        </w:tc>
        <w:tc>
          <w:tcPr>
            <w:tcW w:type="dxa" w:w="7776"/>
          </w:tcPr>
          <w:p>
            <w:r/>
            <w:r>
              <w:rPr>
                <w:rFonts w:ascii="Arial" w:hAnsi="Arial"/>
                <w:b w:val="0"/>
                <w:sz w:val="18"/>
              </w:rPr>
              <w:t>Description, quantity, unit price</w:t>
            </w:r>
          </w:p>
        </w:tc>
      </w:tr>
      <w:tr>
        <w:tc>
          <w:tcPr>
            <w:tcW w:type="dxa" w:w="3744"/>
            <w:shd w:val="clear" w:fill="F6F8FB"/>
          </w:tcPr>
          <w:p>
            <w:r/>
            <w:r>
              <w:rPr>
                <w:rFonts w:ascii="Arial" w:hAnsi="Arial"/>
                <w:b w:val="0"/>
                <w:sz w:val="18"/>
              </w:rPr>
              <w:t>Net amount, VAT rate, VAT amount</w:t>
            </w:r>
          </w:p>
        </w:tc>
        <w:tc>
          <w:tcPr>
            <w:tcW w:type="dxa" w:w="7776"/>
            <w:shd w:val="clear" w:fill="F6F8FB"/>
          </w:tcPr>
          <w:p>
            <w:r/>
            <w:r>
              <w:rPr>
                <w:rFonts w:ascii="Arial" w:hAnsi="Arial"/>
                <w:b w:val="0"/>
                <w:sz w:val="18"/>
              </w:rPr>
              <w:t>Standard / zero-rated / exempt flagged</w:t>
            </w:r>
          </w:p>
        </w:tc>
      </w:tr>
      <w:tr>
        <w:tc>
          <w:tcPr>
            <w:tcW w:type="dxa" w:w="3744"/>
          </w:tcPr>
          <w:p>
            <w:r/>
            <w:r>
              <w:rPr>
                <w:rFonts w:ascii="Arial" w:hAnsi="Arial"/>
                <w:b w:val="0"/>
                <w:sz w:val="18"/>
              </w:rPr>
              <w:t>Gross/total</w:t>
            </w:r>
          </w:p>
        </w:tc>
        <w:tc>
          <w:tcPr>
            <w:tcW w:type="dxa" w:w="7776"/>
          </w:tcPr>
          <w:p>
            <w:r/>
            <w:r>
              <w:rPr>
                <w:rFonts w:ascii="Arial" w:hAnsi="Arial"/>
                <w:b w:val="0"/>
                <w:sz w:val="18"/>
              </w:rPr>
              <w:t>Net + VAT</w:t>
            </w:r>
          </w:p>
        </w:tc>
      </w:tr>
      <w:tr>
        <w:tc>
          <w:tcPr>
            <w:tcW w:type="dxa" w:w="3744"/>
            <w:shd w:val="clear" w:fill="F6F8FB"/>
          </w:tcPr>
          <w:p>
            <w:r/>
            <w:r>
              <w:rPr>
                <w:rFonts w:ascii="Arial" w:hAnsi="Arial"/>
                <w:b w:val="0"/>
                <w:sz w:val="18"/>
              </w:rPr>
              <w:t>Validation / QR marker</w:t>
            </w:r>
          </w:p>
        </w:tc>
        <w:tc>
          <w:tcPr>
            <w:tcW w:type="dxa" w:w="7776"/>
            <w:shd w:val="clear" w:fill="F6F8FB"/>
          </w:tcPr>
          <w:p>
            <w:r/>
            <w:r>
              <w:rPr>
                <w:rFonts w:ascii="Arial" w:hAnsi="Arial"/>
                <w:b w:val="0"/>
                <w:sz w:val="18"/>
              </w:rPr>
              <w:t>NRS-returned</w:t>
            </w:r>
          </w:p>
        </w:tc>
      </w:tr>
    </w:tbl>
    <w:p>
      <w:pPr>
        <w:pStyle w:val="Heading1"/>
      </w:pPr>
      <w:r>
        <w:t>4. Integration Options</w:t>
      </w:r>
    </w:p>
    <w:tbl>
      <w:tblPr>
        <w:tblStyle w:val="TableGrid"/>
        <w:tblW w:type="auto" w:w="0"/>
        <w:jc w:val="center"/>
        <w:tblLook w:firstColumn="1" w:firstRow="1" w:lastColumn="0" w:lastRow="0" w:noHBand="0" w:noVBand="1" w:val="04A0"/>
      </w:tblPr>
      <w:tblGrid>
        <w:gridCol w:w="3216"/>
        <w:gridCol w:w="3216"/>
        <w:gridCol w:w="3216"/>
      </w:tblGrid>
      <w:tr>
        <w:tc>
          <w:tcPr>
            <w:tcW w:type="dxa" w:w="3168"/>
            <w:shd w:val="clear" w:fill="1B4D89"/>
          </w:tcPr>
          <w:p>
            <w:r/>
            <w:r>
              <w:rPr>
                <w:rFonts w:ascii="Arial" w:hAnsi="Arial"/>
                <w:b/>
                <w:color w:val="FFFFFF"/>
                <w:sz w:val="18"/>
              </w:rPr>
              <w:t>Route</w:t>
            </w:r>
          </w:p>
        </w:tc>
        <w:tc>
          <w:tcPr>
            <w:tcW w:type="dxa" w:w="4032"/>
            <w:shd w:val="clear" w:fill="1B4D89"/>
          </w:tcPr>
          <w:p>
            <w:r/>
            <w:r>
              <w:rPr>
                <w:rFonts w:ascii="Arial" w:hAnsi="Arial"/>
                <w:b/>
                <w:color w:val="FFFFFF"/>
                <w:sz w:val="18"/>
              </w:rPr>
              <w:t>Best for</w:t>
            </w:r>
          </w:p>
        </w:tc>
        <w:tc>
          <w:tcPr>
            <w:tcW w:type="dxa" w:w="4320"/>
            <w:shd w:val="clear" w:fill="1B4D89"/>
          </w:tcPr>
          <w:p>
            <w:r/>
            <w:r>
              <w:rPr>
                <w:rFonts w:ascii="Arial" w:hAnsi="Arial"/>
                <w:b/>
                <w:color w:val="FFFFFF"/>
                <w:sz w:val="18"/>
              </w:rPr>
              <w:t>Considerations</w:t>
            </w:r>
          </w:p>
        </w:tc>
      </w:tr>
      <w:tr>
        <w:tc>
          <w:tcPr>
            <w:tcW w:type="dxa" w:w="3168"/>
          </w:tcPr>
          <w:p>
            <w:r/>
            <w:r>
              <w:rPr>
                <w:rFonts w:ascii="Arial" w:hAnsi="Arial"/>
                <w:b w:val="0"/>
                <w:sz w:val="18"/>
              </w:rPr>
              <w:t>Direct API to NRS</w:t>
            </w:r>
          </w:p>
        </w:tc>
        <w:tc>
          <w:tcPr>
            <w:tcW w:type="dxa" w:w="4032"/>
          </w:tcPr>
          <w:p>
            <w:r/>
            <w:r>
              <w:rPr>
                <w:rFonts w:ascii="Arial" w:hAnsi="Arial"/>
                <w:b w:val="0"/>
                <w:sz w:val="18"/>
              </w:rPr>
              <w:t>Large IT-capable taxpayers</w:t>
            </w:r>
          </w:p>
        </w:tc>
        <w:tc>
          <w:tcPr>
            <w:tcW w:type="dxa" w:w="4320"/>
          </w:tcPr>
          <w:p>
            <w:r/>
            <w:r>
              <w:rPr>
                <w:rFonts w:ascii="Arial" w:hAnsi="Arial"/>
                <w:b w:val="0"/>
                <w:sz w:val="18"/>
              </w:rPr>
              <w:t>Build &amp; maintain integration; full control</w:t>
            </w:r>
          </w:p>
        </w:tc>
      </w:tr>
      <w:tr>
        <w:tc>
          <w:tcPr>
            <w:tcW w:type="dxa" w:w="3168"/>
            <w:shd w:val="clear" w:fill="F6F8FB"/>
          </w:tcPr>
          <w:p>
            <w:r/>
            <w:r>
              <w:rPr>
                <w:rFonts w:ascii="Arial" w:hAnsi="Arial"/>
                <w:b w:val="0"/>
                <w:sz w:val="18"/>
              </w:rPr>
              <w:t>Access-point / service provider</w:t>
            </w:r>
          </w:p>
        </w:tc>
        <w:tc>
          <w:tcPr>
            <w:tcW w:type="dxa" w:w="4032"/>
            <w:shd w:val="clear" w:fill="F6F8FB"/>
          </w:tcPr>
          <w:p>
            <w:r/>
            <w:r>
              <w:rPr>
                <w:rFonts w:ascii="Arial" w:hAnsi="Arial"/>
                <w:b w:val="0"/>
                <w:sz w:val="18"/>
              </w:rPr>
              <w:t>Most mid-market firms</w:t>
            </w:r>
          </w:p>
        </w:tc>
        <w:tc>
          <w:tcPr>
            <w:tcW w:type="dxa" w:w="4320"/>
            <w:shd w:val="clear" w:fill="F6F8FB"/>
          </w:tcPr>
          <w:p>
            <w:r/>
            <w:r>
              <w:rPr>
                <w:rFonts w:ascii="Arial" w:hAnsi="Arial"/>
                <w:b w:val="0"/>
                <w:sz w:val="18"/>
              </w:rPr>
              <w:t>Faster; vendor due-diligence needed</w:t>
            </w:r>
          </w:p>
        </w:tc>
      </w:tr>
      <w:tr>
        <w:tc>
          <w:tcPr>
            <w:tcW w:type="dxa" w:w="3168"/>
          </w:tcPr>
          <w:p>
            <w:r/>
            <w:r>
              <w:rPr>
                <w:rFonts w:ascii="Arial" w:hAnsi="Arial"/>
                <w:b w:val="0"/>
                <w:sz w:val="18"/>
              </w:rPr>
              <w:t>ERP middleware / connector</w:t>
            </w:r>
          </w:p>
        </w:tc>
        <w:tc>
          <w:tcPr>
            <w:tcW w:type="dxa" w:w="4032"/>
          </w:tcPr>
          <w:p>
            <w:r/>
            <w:r>
              <w:rPr>
                <w:rFonts w:ascii="Arial" w:hAnsi="Arial"/>
                <w:b w:val="0"/>
                <w:sz w:val="18"/>
              </w:rPr>
              <w:t>Firms on major ERPs</w:t>
            </w:r>
          </w:p>
        </w:tc>
        <w:tc>
          <w:tcPr>
            <w:tcW w:type="dxa" w:w="4320"/>
          </w:tcPr>
          <w:p>
            <w:r/>
            <w:r>
              <w:rPr>
                <w:rFonts w:ascii="Arial" w:hAnsi="Arial"/>
                <w:b w:val="0"/>
                <w:sz w:val="18"/>
              </w:rPr>
              <w:t>Check certified connector availability</w:t>
            </w:r>
          </w:p>
        </w:tc>
      </w:tr>
    </w:tbl>
    <w:p>
      <w:pPr>
        <w:pStyle w:val="Heading1"/>
      </w:pPr>
      <w:r>
        <w:t>5. Readiness Checklist</w:t>
      </w:r>
    </w:p>
    <w:p>
      <w:pPr>
        <w:ind w:left="360"/>
      </w:pPr>
      <w:r>
        <w:rPr>
          <w:sz w:val="20"/>
        </w:rPr>
        <w:t>☐  Confirm your taxpayer category and mandated phase/date with NRS.</w:t>
      </w:r>
    </w:p>
    <w:p>
      <w:pPr>
        <w:ind w:left="360"/>
      </w:pPr>
      <w:r>
        <w:rPr>
          <w:sz w:val="20"/>
        </w:rPr>
        <w:t>☐  Clean master data: valid TINs for the company and key customers.</w:t>
      </w:r>
    </w:p>
    <w:p>
      <w:pPr>
        <w:ind w:left="360"/>
      </w:pPr>
      <w:r>
        <w:rPr>
          <w:sz w:val="20"/>
        </w:rPr>
        <w:t>☐  Map every invoice type (sales, credit notes, returns, proforma) to the e-invoice flow.</w:t>
      </w:r>
    </w:p>
    <w:p>
      <w:pPr>
        <w:ind w:left="360"/>
      </w:pPr>
      <w:r>
        <w:rPr>
          <w:sz w:val="20"/>
        </w:rPr>
        <w:t>☐  Select an integration route and (if applicable) appoint an access-point provider.</w:t>
      </w:r>
    </w:p>
    <w:p>
      <w:pPr>
        <w:ind w:left="360"/>
      </w:pPr>
      <w:r>
        <w:rPr>
          <w:sz w:val="20"/>
        </w:rPr>
        <w:t>☐  Map all mandatory fields from your billing/ERP system to the NRS schema.</w:t>
      </w:r>
    </w:p>
    <w:p>
      <w:pPr>
        <w:ind w:left="360"/>
      </w:pPr>
      <w:r>
        <w:rPr>
          <w:sz w:val="20"/>
        </w:rPr>
        <w:t>☐  Build exception handling (rejections, downtime, offline fallback).</w:t>
      </w:r>
    </w:p>
    <w:p>
      <w:pPr>
        <w:ind w:left="360"/>
      </w:pPr>
      <w:r>
        <w:rPr>
          <w:sz w:val="20"/>
        </w:rPr>
        <w:t>☐  Run an end-to-end test cycle in the NRS test environment.</w:t>
      </w:r>
    </w:p>
    <w:p>
      <w:pPr>
        <w:ind w:left="360"/>
      </w:pPr>
      <w:r>
        <w:rPr>
          <w:sz w:val="20"/>
        </w:rPr>
        <w:t>☐  Train billing, finance and customer-service teams.</w:t>
      </w:r>
    </w:p>
    <w:p>
      <w:pPr>
        <w:ind w:left="360"/>
      </w:pPr>
      <w:r>
        <w:rPr>
          <w:sz w:val="20"/>
        </w:rPr>
        <w:t>☐  Reconcile e-invoice data to the VAT register monthly.</w:t>
      </w:r>
    </w:p>
    <w:p>
      <w:pPr>
        <w:ind w:left="360"/>
      </w:pPr>
      <w:r>
        <w:rPr>
          <w:sz w:val="20"/>
        </w:rPr>
        <w:t>☐  Document the process and controls for audit.</w:t>
      </w:r>
    </w:p>
    <w:p>
      <w:pPr>
        <w:pStyle w:val="Heading1"/>
      </w:pPr>
      <w:r>
        <w:t>6. Process Redesign Notes</w:t>
      </w:r>
    </w:p>
    <w:p>
      <w:pPr>
        <w:pStyle w:val="ListBullet"/>
      </w:pPr>
      <w:r>
        <w:rPr>
          <w:sz w:val="20"/>
        </w:rPr>
        <w:t>Credit notes and returns must also be transmitted and linked to the original IRN.</w:t>
      </w:r>
    </w:p>
    <w:p>
      <w:pPr>
        <w:pStyle w:val="ListBullet"/>
      </w:pPr>
      <w:r>
        <w:rPr>
          <w:sz w:val="20"/>
        </w:rPr>
        <w:t>Imported services under reverse charge still require correct VAT treatment in the register even where no e-invoice is issued by the foreign supplier.</w:t>
      </w:r>
    </w:p>
    <w:p>
      <w:pPr>
        <w:pStyle w:val="ListBullet"/>
      </w:pPr>
      <w:r>
        <w:rPr>
          <w:sz w:val="20"/>
        </w:rPr>
        <w:t>No valid IRN generally means the invoice is not compliant — build a hard control so goods/services are not invoiced outside the system.</w:t>
      </w:r>
    </w:p>
    <w:p>
      <w:pPr>
        <w:pStyle w:val="Heading1"/>
      </w:pPr>
      <w:r>
        <w:t>7. Penalty Exposure</w:t>
      </w:r>
    </w:p>
    <w:p>
      <w:r>
        <w:rPr>
          <w:sz w:val="21"/>
        </w:rPr>
        <w:t>Failure to issue compliant e-invoices, transmit data, or retain records attracts penalties under the NTAA 2025. Confirm the current penalty amounts and any grace period for your rollout phase with the NRS.</w:t>
      </w:r>
    </w:p>
    <w:sectPr w:rsidR="00FC693F" w:rsidRPr="0006063C" w:rsidSect="00034616">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0243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B4D89"/>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1B4D89"/>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